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E1" w:rsidRPr="0086616F" w:rsidRDefault="00980BE1" w:rsidP="00980BE1">
      <w:pPr>
        <w:jc w:val="center"/>
        <w:rPr>
          <w:rFonts w:ascii="Arial" w:hAnsi="Arial" w:cs="Arial"/>
          <w:b/>
          <w:sz w:val="28"/>
          <w:szCs w:val="28"/>
          <w:u w:val="single"/>
        </w:rPr>
      </w:pPr>
      <w:r w:rsidRPr="0086616F">
        <w:rPr>
          <w:rFonts w:ascii="Arial" w:hAnsi="Arial" w:cs="Arial"/>
          <w:b/>
          <w:sz w:val="28"/>
          <w:szCs w:val="28"/>
          <w:u w:val="single"/>
        </w:rPr>
        <w:t>Direct Payment Support Services Framework</w:t>
      </w:r>
    </w:p>
    <w:p w:rsidR="00490A87" w:rsidRPr="0086616F" w:rsidRDefault="00490A87" w:rsidP="00490A87">
      <w:pPr>
        <w:pStyle w:val="ListParagraph"/>
        <w:numPr>
          <w:ilvl w:val="0"/>
          <w:numId w:val="2"/>
        </w:numPr>
        <w:spacing w:before="240" w:after="240" w:line="240" w:lineRule="auto"/>
        <w:ind w:left="357" w:hanging="357"/>
        <w:rPr>
          <w:rFonts w:ascii="Arial" w:hAnsi="Arial" w:cs="Arial"/>
          <w:sz w:val="28"/>
          <w:szCs w:val="28"/>
        </w:rPr>
      </w:pPr>
      <w:r w:rsidRPr="0086616F">
        <w:rPr>
          <w:rFonts w:ascii="Arial" w:hAnsi="Arial" w:cs="Arial"/>
          <w:sz w:val="28"/>
          <w:szCs w:val="28"/>
        </w:rPr>
        <w:t>Direct Payment Support Services provide a range of support to citizens using Direct Payments, such as:</w:t>
      </w:r>
    </w:p>
    <w:p w:rsidR="00490A87" w:rsidRPr="0086616F" w:rsidRDefault="00490A87" w:rsidP="00490A87">
      <w:pPr>
        <w:pStyle w:val="ListParagraph"/>
        <w:numPr>
          <w:ilvl w:val="1"/>
          <w:numId w:val="2"/>
        </w:numPr>
        <w:spacing w:before="240" w:after="240" w:line="240" w:lineRule="auto"/>
        <w:ind w:left="726"/>
        <w:rPr>
          <w:rFonts w:ascii="Arial" w:hAnsi="Arial" w:cs="Arial"/>
          <w:sz w:val="28"/>
          <w:szCs w:val="28"/>
        </w:rPr>
      </w:pPr>
      <w:r w:rsidRPr="0086616F">
        <w:rPr>
          <w:rFonts w:ascii="Arial" w:hAnsi="Arial" w:cs="Arial"/>
          <w:sz w:val="28"/>
          <w:szCs w:val="28"/>
        </w:rPr>
        <w:t>Initial advice and support planning</w:t>
      </w:r>
    </w:p>
    <w:p w:rsidR="00490A87" w:rsidRPr="0086616F" w:rsidRDefault="00490A87" w:rsidP="00490A87">
      <w:pPr>
        <w:pStyle w:val="ListParagraph"/>
        <w:numPr>
          <w:ilvl w:val="1"/>
          <w:numId w:val="2"/>
        </w:numPr>
        <w:spacing w:before="240" w:after="240" w:line="240" w:lineRule="auto"/>
        <w:ind w:left="726"/>
        <w:rPr>
          <w:rFonts w:ascii="Arial" w:hAnsi="Arial" w:cs="Arial"/>
          <w:sz w:val="28"/>
          <w:szCs w:val="28"/>
        </w:rPr>
      </w:pPr>
      <w:r w:rsidRPr="0086616F">
        <w:rPr>
          <w:rFonts w:ascii="Arial" w:hAnsi="Arial" w:cs="Arial"/>
          <w:sz w:val="28"/>
          <w:szCs w:val="28"/>
        </w:rPr>
        <w:t>Ongoing advice and support</w:t>
      </w:r>
    </w:p>
    <w:p w:rsidR="00490A87" w:rsidRPr="0086616F" w:rsidRDefault="00490A87" w:rsidP="00490A87">
      <w:pPr>
        <w:pStyle w:val="ListParagraph"/>
        <w:numPr>
          <w:ilvl w:val="1"/>
          <w:numId w:val="2"/>
        </w:numPr>
        <w:spacing w:before="240" w:after="240" w:line="240" w:lineRule="auto"/>
        <w:ind w:left="726"/>
        <w:rPr>
          <w:rFonts w:ascii="Arial" w:hAnsi="Arial" w:cs="Arial"/>
          <w:sz w:val="28"/>
          <w:szCs w:val="28"/>
        </w:rPr>
      </w:pPr>
      <w:r w:rsidRPr="0086616F">
        <w:rPr>
          <w:rFonts w:ascii="Arial" w:hAnsi="Arial" w:cs="Arial"/>
          <w:sz w:val="28"/>
          <w:szCs w:val="28"/>
        </w:rPr>
        <w:t>Personal Assistant recruitment</w:t>
      </w:r>
    </w:p>
    <w:p w:rsidR="00490A87" w:rsidRPr="0086616F" w:rsidRDefault="00490A87" w:rsidP="00490A87">
      <w:pPr>
        <w:pStyle w:val="ListParagraph"/>
        <w:numPr>
          <w:ilvl w:val="1"/>
          <w:numId w:val="2"/>
        </w:numPr>
        <w:spacing w:before="240" w:after="240" w:line="240" w:lineRule="auto"/>
        <w:ind w:left="726"/>
        <w:rPr>
          <w:rFonts w:ascii="Arial" w:hAnsi="Arial" w:cs="Arial"/>
          <w:sz w:val="28"/>
          <w:szCs w:val="28"/>
        </w:rPr>
      </w:pPr>
      <w:r w:rsidRPr="0086616F">
        <w:rPr>
          <w:rFonts w:ascii="Arial" w:hAnsi="Arial" w:cs="Arial"/>
          <w:sz w:val="28"/>
          <w:szCs w:val="28"/>
        </w:rPr>
        <w:t>Managed accounts</w:t>
      </w:r>
    </w:p>
    <w:p w:rsidR="00490A87" w:rsidRPr="0086616F" w:rsidRDefault="00490A87" w:rsidP="00490A87">
      <w:pPr>
        <w:pStyle w:val="ListParagraph"/>
        <w:numPr>
          <w:ilvl w:val="1"/>
          <w:numId w:val="2"/>
        </w:numPr>
        <w:spacing w:before="240" w:after="240" w:line="240" w:lineRule="auto"/>
        <w:ind w:left="726"/>
        <w:rPr>
          <w:rFonts w:ascii="Arial" w:hAnsi="Arial" w:cs="Arial"/>
          <w:sz w:val="28"/>
          <w:szCs w:val="28"/>
        </w:rPr>
      </w:pPr>
      <w:r w:rsidRPr="0086616F">
        <w:rPr>
          <w:rFonts w:ascii="Arial" w:hAnsi="Arial" w:cs="Arial"/>
          <w:sz w:val="28"/>
          <w:szCs w:val="28"/>
        </w:rPr>
        <w:t>Payroll and HMRC services</w:t>
      </w:r>
    </w:p>
    <w:p w:rsidR="00490A87" w:rsidRPr="0086616F" w:rsidRDefault="00490A87" w:rsidP="00490A87">
      <w:pPr>
        <w:pStyle w:val="ListParagraph"/>
        <w:spacing w:before="240" w:after="240" w:line="240" w:lineRule="auto"/>
        <w:ind w:left="1083"/>
        <w:rPr>
          <w:rFonts w:ascii="Arial" w:hAnsi="Arial" w:cs="Arial"/>
          <w:sz w:val="28"/>
          <w:szCs w:val="28"/>
        </w:rPr>
      </w:pPr>
    </w:p>
    <w:p w:rsidR="003F638D" w:rsidRPr="0086616F" w:rsidRDefault="003F638D" w:rsidP="003F638D">
      <w:pPr>
        <w:pStyle w:val="ListParagraph"/>
        <w:numPr>
          <w:ilvl w:val="0"/>
          <w:numId w:val="2"/>
        </w:numPr>
        <w:rPr>
          <w:rFonts w:ascii="Arial" w:hAnsi="Arial" w:cs="Arial"/>
          <w:sz w:val="28"/>
          <w:szCs w:val="28"/>
        </w:rPr>
      </w:pPr>
      <w:r w:rsidRPr="0086616F">
        <w:rPr>
          <w:rFonts w:ascii="Arial" w:hAnsi="Arial" w:cs="Arial"/>
          <w:sz w:val="28"/>
          <w:szCs w:val="28"/>
        </w:rPr>
        <w:t>Currently Birmingham has an open market for Direct Payment Support Services, meaning any company can register to provide support to citizens in Birmingham with Direct Payments. Prior to this, there was a block contract arrangement with one sole provider.</w:t>
      </w:r>
    </w:p>
    <w:p w:rsidR="003F638D" w:rsidRPr="0086616F" w:rsidRDefault="003F638D" w:rsidP="003F638D">
      <w:pPr>
        <w:pStyle w:val="ListParagraph"/>
        <w:spacing w:before="240" w:after="240" w:line="240" w:lineRule="auto"/>
        <w:ind w:left="363"/>
        <w:rPr>
          <w:rFonts w:ascii="Arial" w:hAnsi="Arial" w:cs="Arial"/>
          <w:sz w:val="28"/>
          <w:szCs w:val="28"/>
        </w:rPr>
      </w:pPr>
    </w:p>
    <w:p w:rsidR="00490A87" w:rsidRPr="0086616F" w:rsidRDefault="00490A87" w:rsidP="00490A87">
      <w:pPr>
        <w:pStyle w:val="ListParagraph"/>
        <w:numPr>
          <w:ilvl w:val="0"/>
          <w:numId w:val="2"/>
        </w:numPr>
        <w:spacing w:before="240" w:after="240" w:line="240" w:lineRule="auto"/>
        <w:rPr>
          <w:rFonts w:ascii="Arial" w:hAnsi="Arial" w:cs="Arial"/>
          <w:sz w:val="28"/>
          <w:szCs w:val="28"/>
        </w:rPr>
      </w:pPr>
      <w:r w:rsidRPr="0086616F">
        <w:rPr>
          <w:rFonts w:ascii="Arial" w:hAnsi="Arial" w:cs="Arial"/>
          <w:sz w:val="28"/>
          <w:szCs w:val="28"/>
        </w:rPr>
        <w:t>A</w:t>
      </w:r>
      <w:r w:rsidR="003F638D" w:rsidRPr="0086616F">
        <w:rPr>
          <w:rFonts w:ascii="Arial" w:hAnsi="Arial" w:cs="Arial"/>
          <w:sz w:val="28"/>
          <w:szCs w:val="28"/>
        </w:rPr>
        <w:t>n outline F</w:t>
      </w:r>
      <w:r w:rsidRPr="0086616F">
        <w:rPr>
          <w:rFonts w:ascii="Arial" w:hAnsi="Arial" w:cs="Arial"/>
          <w:sz w:val="28"/>
          <w:szCs w:val="28"/>
        </w:rPr>
        <w:t>ramework for DP Support Services would mean that in order to provide services in Birmingham, providers would have to meet a set of quality and service standards</w:t>
      </w:r>
      <w:r w:rsidR="003F638D" w:rsidRPr="0086616F">
        <w:rPr>
          <w:rFonts w:ascii="Arial" w:hAnsi="Arial" w:cs="Arial"/>
          <w:sz w:val="28"/>
          <w:szCs w:val="28"/>
        </w:rPr>
        <w:t xml:space="preserve">, and agree to a </w:t>
      </w:r>
      <w:bookmarkStart w:id="0" w:name="_GoBack"/>
      <w:bookmarkEnd w:id="0"/>
      <w:r w:rsidR="003F638D" w:rsidRPr="0086616F">
        <w:rPr>
          <w:rFonts w:ascii="Arial" w:hAnsi="Arial" w:cs="Arial"/>
          <w:sz w:val="28"/>
          <w:szCs w:val="28"/>
        </w:rPr>
        <w:t>standardised tariff of charges, including an upper limit to costs of each type of service.</w:t>
      </w:r>
    </w:p>
    <w:p w:rsidR="003F638D" w:rsidRPr="0086616F" w:rsidRDefault="003F638D" w:rsidP="003F638D">
      <w:pPr>
        <w:pStyle w:val="ListParagraph"/>
        <w:spacing w:before="240" w:after="240" w:line="240" w:lineRule="auto"/>
        <w:ind w:left="363"/>
        <w:rPr>
          <w:rFonts w:ascii="Arial" w:hAnsi="Arial" w:cs="Arial"/>
          <w:sz w:val="28"/>
          <w:szCs w:val="28"/>
        </w:rPr>
      </w:pPr>
    </w:p>
    <w:p w:rsidR="003F638D" w:rsidRPr="0086616F" w:rsidRDefault="003F638D" w:rsidP="00490A87">
      <w:pPr>
        <w:pStyle w:val="ListParagraph"/>
        <w:numPr>
          <w:ilvl w:val="0"/>
          <w:numId w:val="2"/>
        </w:numPr>
        <w:spacing w:before="240" w:after="240" w:line="240" w:lineRule="auto"/>
        <w:rPr>
          <w:rFonts w:ascii="Arial" w:hAnsi="Arial" w:cs="Arial"/>
          <w:sz w:val="28"/>
          <w:szCs w:val="28"/>
        </w:rPr>
      </w:pPr>
      <w:r w:rsidRPr="0086616F">
        <w:rPr>
          <w:rFonts w:ascii="Arial" w:hAnsi="Arial" w:cs="Arial"/>
          <w:sz w:val="28"/>
          <w:szCs w:val="28"/>
        </w:rPr>
        <w:t>Providers would then be the subject of quality monitoring, via quarterly self-assessment returns and an annual monitoring visit.</w:t>
      </w:r>
    </w:p>
    <w:p w:rsidR="00490A87" w:rsidRPr="0086616F" w:rsidRDefault="00490A87" w:rsidP="00490A87">
      <w:pPr>
        <w:pStyle w:val="ListParagraph"/>
        <w:spacing w:before="240" w:after="240" w:line="240" w:lineRule="auto"/>
        <w:ind w:left="363"/>
        <w:rPr>
          <w:rFonts w:ascii="Arial" w:hAnsi="Arial" w:cs="Arial"/>
          <w:sz w:val="28"/>
          <w:szCs w:val="28"/>
        </w:rPr>
      </w:pPr>
    </w:p>
    <w:p w:rsidR="00490A87" w:rsidRPr="0086616F" w:rsidRDefault="00490A87" w:rsidP="00490A87">
      <w:pPr>
        <w:pStyle w:val="ListParagraph"/>
        <w:numPr>
          <w:ilvl w:val="0"/>
          <w:numId w:val="2"/>
        </w:numPr>
        <w:spacing w:before="240" w:after="240" w:line="240" w:lineRule="auto"/>
        <w:ind w:left="357" w:hanging="357"/>
        <w:rPr>
          <w:rFonts w:ascii="Arial" w:hAnsi="Arial" w:cs="Arial"/>
          <w:sz w:val="28"/>
          <w:szCs w:val="28"/>
        </w:rPr>
      </w:pPr>
      <w:r w:rsidRPr="0086616F">
        <w:rPr>
          <w:rFonts w:ascii="Arial" w:hAnsi="Arial" w:cs="Arial"/>
          <w:sz w:val="28"/>
          <w:szCs w:val="28"/>
        </w:rPr>
        <w:t>Direct Payment support services are not regulated by the Care Quality Commission (CQC), or by the Financial Standards Authority (FSA). This is a risk for the Council and for citizens using these services, and so a quality-based framework and monitoring run by the council would go some way to reducing this risk.</w:t>
      </w:r>
    </w:p>
    <w:p w:rsidR="00490A87" w:rsidRPr="0086616F" w:rsidRDefault="00490A87" w:rsidP="00490A87">
      <w:pPr>
        <w:pStyle w:val="ListParagraph"/>
        <w:ind w:left="363"/>
        <w:rPr>
          <w:rFonts w:ascii="Arial" w:hAnsi="Arial" w:cs="Arial"/>
          <w:sz w:val="28"/>
          <w:szCs w:val="28"/>
        </w:rPr>
      </w:pPr>
    </w:p>
    <w:p w:rsidR="00490A87" w:rsidRPr="0086616F" w:rsidRDefault="003F638D" w:rsidP="00490A87">
      <w:pPr>
        <w:pStyle w:val="ListParagraph"/>
        <w:numPr>
          <w:ilvl w:val="0"/>
          <w:numId w:val="2"/>
        </w:numPr>
        <w:spacing w:before="240" w:after="240" w:line="240" w:lineRule="auto"/>
        <w:ind w:left="357" w:hanging="357"/>
        <w:rPr>
          <w:rFonts w:ascii="Arial" w:hAnsi="Arial" w:cs="Arial"/>
          <w:sz w:val="28"/>
          <w:szCs w:val="28"/>
        </w:rPr>
      </w:pPr>
      <w:r w:rsidRPr="0086616F">
        <w:rPr>
          <w:rFonts w:ascii="Arial" w:hAnsi="Arial" w:cs="Arial"/>
          <w:sz w:val="28"/>
          <w:szCs w:val="28"/>
        </w:rPr>
        <w:t>The number of providers on the Framework should be limited to a manageable number, to ensure choice and quality for the citizen.</w:t>
      </w:r>
    </w:p>
    <w:p w:rsidR="003F638D" w:rsidRPr="0086616F" w:rsidRDefault="003F638D" w:rsidP="003F638D">
      <w:pPr>
        <w:pStyle w:val="ListParagraph"/>
        <w:rPr>
          <w:rFonts w:ascii="Arial" w:hAnsi="Arial" w:cs="Arial"/>
          <w:sz w:val="28"/>
          <w:szCs w:val="28"/>
        </w:rPr>
      </w:pPr>
    </w:p>
    <w:p w:rsidR="003F638D" w:rsidRPr="0086616F" w:rsidRDefault="003F638D" w:rsidP="00490A87">
      <w:pPr>
        <w:pStyle w:val="ListParagraph"/>
        <w:numPr>
          <w:ilvl w:val="0"/>
          <w:numId w:val="2"/>
        </w:numPr>
        <w:spacing w:before="240" w:after="240" w:line="240" w:lineRule="auto"/>
        <w:ind w:left="357" w:hanging="357"/>
        <w:rPr>
          <w:rFonts w:ascii="Arial" w:hAnsi="Arial" w:cs="Arial"/>
          <w:sz w:val="28"/>
          <w:szCs w:val="28"/>
        </w:rPr>
      </w:pPr>
      <w:r w:rsidRPr="0086616F">
        <w:rPr>
          <w:rFonts w:ascii="Arial" w:hAnsi="Arial" w:cs="Arial"/>
          <w:sz w:val="28"/>
          <w:szCs w:val="28"/>
        </w:rPr>
        <w:t xml:space="preserve">Some other </w:t>
      </w:r>
      <w:proofErr w:type="gramStart"/>
      <w:r w:rsidRPr="0086616F">
        <w:rPr>
          <w:rFonts w:ascii="Arial" w:hAnsi="Arial" w:cs="Arial"/>
          <w:sz w:val="28"/>
          <w:szCs w:val="28"/>
        </w:rPr>
        <w:t>Councils</w:t>
      </w:r>
      <w:proofErr w:type="gramEnd"/>
      <w:r w:rsidRPr="0086616F">
        <w:rPr>
          <w:rFonts w:ascii="Arial" w:hAnsi="Arial" w:cs="Arial"/>
          <w:sz w:val="28"/>
          <w:szCs w:val="28"/>
        </w:rPr>
        <w:t>, such as Nottingham and Sheffield, have implemented similar systems, and these could be used as models of best practice to ensure implementation is done in the right way.</w:t>
      </w:r>
    </w:p>
    <w:p w:rsidR="00490A87" w:rsidRPr="0086616F" w:rsidRDefault="00490A87" w:rsidP="00490A87">
      <w:pPr>
        <w:pStyle w:val="ListParagraph"/>
        <w:spacing w:before="240" w:after="240" w:line="240" w:lineRule="auto"/>
        <w:ind w:left="357"/>
        <w:rPr>
          <w:rFonts w:ascii="Arial" w:hAnsi="Arial" w:cs="Arial"/>
          <w:sz w:val="28"/>
          <w:szCs w:val="28"/>
        </w:rPr>
      </w:pPr>
    </w:p>
    <w:sectPr w:rsidR="00490A87" w:rsidRPr="00866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2D2F"/>
    <w:multiLevelType w:val="hybridMultilevel"/>
    <w:tmpl w:val="5DA4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551D1A"/>
    <w:multiLevelType w:val="hybridMultilevel"/>
    <w:tmpl w:val="EC144F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6A"/>
    <w:rsid w:val="003F638D"/>
    <w:rsid w:val="00490A87"/>
    <w:rsid w:val="0086616F"/>
    <w:rsid w:val="00980BE1"/>
    <w:rsid w:val="00D42EB0"/>
    <w:rsid w:val="00E01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Doidge</dc:creator>
  <cp:lastModifiedBy>Chris MacAdams</cp:lastModifiedBy>
  <cp:revision>2</cp:revision>
  <dcterms:created xsi:type="dcterms:W3CDTF">2015-06-16T10:14:00Z</dcterms:created>
  <dcterms:modified xsi:type="dcterms:W3CDTF">2015-06-16T10:14:00Z</dcterms:modified>
</cp:coreProperties>
</file>