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D3" w:rsidRPr="006E3ADB" w:rsidRDefault="00C057D3" w:rsidP="00C057D3">
      <w:pPr>
        <w:jc w:val="center"/>
        <w:rPr>
          <w:noProof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>
            <wp:extent cx="2715345" cy="641023"/>
            <wp:effectExtent l="0" t="0" r="0" b="0"/>
            <wp:docPr id="1" name="Picture 1" descr="BCC%20General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%20General%20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562" cy="64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7D3" w:rsidRDefault="00C057D3" w:rsidP="00C057D3">
      <w:pPr>
        <w:jc w:val="center"/>
        <w:rPr>
          <w:b/>
          <w:sz w:val="56"/>
          <w:szCs w:val="56"/>
        </w:rPr>
      </w:pPr>
    </w:p>
    <w:p w:rsidR="00C057D3" w:rsidRDefault="00C057D3" w:rsidP="00C057D3">
      <w:pPr>
        <w:jc w:val="center"/>
        <w:rPr>
          <w:b/>
          <w:sz w:val="56"/>
          <w:szCs w:val="56"/>
        </w:rPr>
      </w:pPr>
    </w:p>
    <w:p w:rsidR="00C057D3" w:rsidRPr="00C057D3" w:rsidRDefault="00C057D3" w:rsidP="00C057D3">
      <w:pPr>
        <w:jc w:val="center"/>
        <w:rPr>
          <w:b/>
          <w:sz w:val="96"/>
          <w:szCs w:val="96"/>
        </w:rPr>
      </w:pPr>
      <w:r w:rsidRPr="00C057D3">
        <w:rPr>
          <w:b/>
          <w:sz w:val="96"/>
          <w:szCs w:val="96"/>
        </w:rPr>
        <w:t>Birmingham</w:t>
      </w:r>
    </w:p>
    <w:p w:rsidR="00C057D3" w:rsidRPr="00C057D3" w:rsidRDefault="00C057D3" w:rsidP="00C057D3">
      <w:pPr>
        <w:jc w:val="center"/>
        <w:rPr>
          <w:b/>
          <w:sz w:val="96"/>
          <w:szCs w:val="96"/>
        </w:rPr>
      </w:pPr>
      <w:r w:rsidRPr="00C057D3">
        <w:rPr>
          <w:b/>
          <w:sz w:val="96"/>
          <w:szCs w:val="96"/>
        </w:rPr>
        <w:t>Festivals Strategy</w:t>
      </w:r>
    </w:p>
    <w:p w:rsidR="00C057D3" w:rsidRDefault="00C057D3" w:rsidP="00C057D3">
      <w:pPr>
        <w:jc w:val="center"/>
        <w:rPr>
          <w:b/>
          <w:sz w:val="96"/>
          <w:szCs w:val="96"/>
        </w:rPr>
      </w:pPr>
      <w:r w:rsidRPr="00C057D3">
        <w:rPr>
          <w:b/>
          <w:sz w:val="96"/>
          <w:szCs w:val="96"/>
        </w:rPr>
        <w:t xml:space="preserve">2014 </w:t>
      </w:r>
      <w:r>
        <w:rPr>
          <w:b/>
          <w:sz w:val="96"/>
          <w:szCs w:val="96"/>
        </w:rPr>
        <w:t>–</w:t>
      </w:r>
      <w:r w:rsidRPr="00C057D3">
        <w:rPr>
          <w:b/>
          <w:sz w:val="96"/>
          <w:szCs w:val="96"/>
        </w:rPr>
        <w:t xml:space="preserve"> 2017</w:t>
      </w:r>
      <w:r w:rsidR="00DE276B">
        <w:rPr>
          <w:rStyle w:val="FootnoteReference"/>
          <w:b/>
          <w:sz w:val="96"/>
          <w:szCs w:val="96"/>
        </w:rPr>
        <w:footnoteReference w:id="1"/>
      </w:r>
    </w:p>
    <w:p w:rsidR="00C057D3" w:rsidRDefault="00C057D3" w:rsidP="00C057D3">
      <w:pPr>
        <w:jc w:val="center"/>
        <w:rPr>
          <w:b/>
          <w:sz w:val="96"/>
          <w:szCs w:val="96"/>
        </w:rPr>
      </w:pPr>
    </w:p>
    <w:p w:rsidR="00DE276B" w:rsidRDefault="00DE276B" w:rsidP="00C057D3">
      <w:pPr>
        <w:jc w:val="center"/>
        <w:rPr>
          <w:b/>
          <w:sz w:val="96"/>
          <w:szCs w:val="96"/>
        </w:rPr>
      </w:pPr>
    </w:p>
    <w:p w:rsidR="00C057D3" w:rsidRPr="00C057D3" w:rsidRDefault="00C057D3" w:rsidP="00C057D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July 2013</w:t>
      </w:r>
    </w:p>
    <w:p w:rsidR="00110AF0" w:rsidRDefault="00110AF0" w:rsidP="00EB546E">
      <w:pPr>
        <w:spacing w:after="0"/>
        <w:rPr>
          <w:sz w:val="96"/>
          <w:szCs w:val="96"/>
        </w:rPr>
      </w:pPr>
    </w:p>
    <w:p w:rsidR="003F1EF5" w:rsidRDefault="003F1EF5" w:rsidP="00EB546E">
      <w:pPr>
        <w:spacing w:after="0"/>
        <w:rPr>
          <w:b/>
        </w:rPr>
      </w:pPr>
    </w:p>
    <w:p w:rsidR="003F1EF5" w:rsidRDefault="003F1EF5" w:rsidP="00EB546E">
      <w:pPr>
        <w:spacing w:after="0"/>
        <w:rPr>
          <w:b/>
        </w:rPr>
      </w:pPr>
    </w:p>
    <w:p w:rsidR="005037D4" w:rsidRPr="005037D4" w:rsidRDefault="005037D4" w:rsidP="00EB546E">
      <w:pPr>
        <w:spacing w:after="0"/>
        <w:rPr>
          <w:b/>
        </w:rPr>
      </w:pPr>
      <w:r w:rsidRPr="005037D4">
        <w:rPr>
          <w:b/>
        </w:rPr>
        <w:t>Context</w:t>
      </w:r>
    </w:p>
    <w:p w:rsidR="00B37660" w:rsidRDefault="00B37660" w:rsidP="00B37660">
      <w:pPr>
        <w:spacing w:after="0"/>
      </w:pPr>
    </w:p>
    <w:p w:rsidR="00B37660" w:rsidRDefault="00B37660" w:rsidP="00B37660">
      <w:pPr>
        <w:spacing w:after="0"/>
      </w:pPr>
      <w:r w:rsidRPr="000F6C94">
        <w:t>Birmingham’s Cultural Strategy, Big City Culture</w:t>
      </w:r>
      <w:r>
        <w:t xml:space="preserve"> 2010-15</w:t>
      </w:r>
      <w:r w:rsidRPr="000F6C94">
        <w:t xml:space="preserve">, </w:t>
      </w:r>
      <w:r>
        <w:t>articulated a vision for</w:t>
      </w:r>
    </w:p>
    <w:p w:rsidR="00B37660" w:rsidRDefault="00B37660" w:rsidP="00B37660">
      <w:pPr>
        <w:spacing w:after="0"/>
      </w:pPr>
    </w:p>
    <w:p w:rsidR="00B37660" w:rsidRPr="00B37660" w:rsidRDefault="00B37660" w:rsidP="00B37660">
      <w:pPr>
        <w:spacing w:after="0"/>
        <w:jc w:val="center"/>
        <w:rPr>
          <w:rFonts w:eastAsiaTheme="minorHAnsi"/>
          <w:b/>
        </w:rPr>
      </w:pPr>
      <w:r w:rsidRPr="00B37660">
        <w:rPr>
          <w:rFonts w:eastAsiaTheme="minorHAnsi"/>
          <w:b/>
          <w:i/>
        </w:rPr>
        <w:t>“Birmingham to be a continually surprising city where the vibrancy and diversity of culture inspire the people who live, work in and visit the city, and bring economic success and international recognition</w:t>
      </w:r>
      <w:r w:rsidRPr="00B37660">
        <w:rPr>
          <w:rFonts w:eastAsiaTheme="minorHAnsi"/>
          <w:b/>
        </w:rPr>
        <w:t>.”</w:t>
      </w:r>
    </w:p>
    <w:p w:rsidR="00B37660" w:rsidRPr="000F6C94" w:rsidRDefault="00B37660" w:rsidP="00B37660">
      <w:pPr>
        <w:spacing w:after="0"/>
      </w:pPr>
    </w:p>
    <w:p w:rsidR="00B37660" w:rsidRDefault="00DE276B" w:rsidP="00EB546E">
      <w:pPr>
        <w:spacing w:after="0"/>
      </w:pPr>
      <w:r>
        <w:t xml:space="preserve">Birmingham City </w:t>
      </w:r>
      <w:r w:rsidR="005037D4">
        <w:t xml:space="preserve">Council’s </w:t>
      </w:r>
      <w:r w:rsidR="005037D4" w:rsidRPr="00DE67CD">
        <w:t>financial position continues to be very challenging</w:t>
      </w:r>
      <w:r w:rsidR="005037D4">
        <w:t xml:space="preserve"> and its investment needs to be strategically targeted against key outcomes</w:t>
      </w:r>
      <w:r>
        <w:t xml:space="preserve"> to ensure resources are used efficiently and effectively</w:t>
      </w:r>
      <w:r w:rsidR="005037D4">
        <w:t xml:space="preserve">.  Festivals have a clear and demonstrable </w:t>
      </w:r>
      <w:r>
        <w:t xml:space="preserve">role in </w:t>
      </w:r>
      <w:r w:rsidR="005037D4">
        <w:t>attract</w:t>
      </w:r>
      <w:r>
        <w:t>ing</w:t>
      </w:r>
      <w:r w:rsidR="005037D4">
        <w:t xml:space="preserve"> cultural visitors</w:t>
      </w:r>
      <w:r>
        <w:t xml:space="preserve"> to the city </w:t>
      </w:r>
      <w:r w:rsidR="005037D4">
        <w:t xml:space="preserve">and thereby </w:t>
      </w:r>
      <w:r w:rsidR="005037D4" w:rsidRPr="00DE67CD">
        <w:t xml:space="preserve">to the </w:t>
      </w:r>
      <w:r w:rsidR="005037D4">
        <w:t xml:space="preserve">Council’s </w:t>
      </w:r>
      <w:r w:rsidR="005037D4" w:rsidRPr="00DE67CD">
        <w:t xml:space="preserve">priority of </w:t>
      </w:r>
      <w:r>
        <w:t xml:space="preserve">inclusive </w:t>
      </w:r>
      <w:r w:rsidR="005037D4">
        <w:t xml:space="preserve">economic growth. </w:t>
      </w:r>
    </w:p>
    <w:p w:rsidR="00B37660" w:rsidRDefault="00B37660" w:rsidP="00EB546E">
      <w:pPr>
        <w:spacing w:after="0"/>
      </w:pPr>
    </w:p>
    <w:p w:rsidR="005037D4" w:rsidRDefault="005037D4" w:rsidP="00EB546E">
      <w:pPr>
        <w:spacing w:after="0"/>
      </w:pPr>
      <w:r>
        <w:t xml:space="preserve">They make a </w:t>
      </w:r>
      <w:r w:rsidR="000F6C94">
        <w:t xml:space="preserve">particularly </w:t>
      </w:r>
      <w:r>
        <w:t>strong contribution to the city’s reputation as a vibrant place to live, work and visit</w:t>
      </w:r>
      <w:r w:rsidRPr="005037D4">
        <w:t xml:space="preserve"> </w:t>
      </w:r>
      <w:r>
        <w:t>and provide a wide range of opportunities for residents, as artists and audiences.  Outdoor free events improve accessibility of culture to local people</w:t>
      </w:r>
      <w:r w:rsidR="00DE276B">
        <w:t xml:space="preserve"> and </w:t>
      </w:r>
      <w:r>
        <w:t>create a sense of excitement and community, supporting the Council’s priorities for social inclusion and cultural participation.</w:t>
      </w:r>
    </w:p>
    <w:p w:rsidR="005037D4" w:rsidRDefault="005037D4" w:rsidP="00EB546E">
      <w:pPr>
        <w:spacing w:after="0"/>
      </w:pPr>
    </w:p>
    <w:p w:rsidR="00C057D3" w:rsidRDefault="005037D4" w:rsidP="00EB546E">
      <w:pPr>
        <w:spacing w:after="0"/>
      </w:pPr>
      <w:r>
        <w:t xml:space="preserve">Birmingham’s </w:t>
      </w:r>
      <w:r w:rsidR="00070A7C">
        <w:t xml:space="preserve">festival sector is </w:t>
      </w:r>
      <w:r>
        <w:t>a relatively</w:t>
      </w:r>
      <w:r w:rsidR="00070A7C" w:rsidRPr="00DE67CD">
        <w:t xml:space="preserve"> un</w:t>
      </w:r>
      <w:r>
        <w:t>der-developed part of the city’s</w:t>
      </w:r>
      <w:r w:rsidR="00070A7C" w:rsidRPr="00DE67CD">
        <w:t xml:space="preserve"> considerable cultural infrastructure</w:t>
      </w:r>
      <w:r>
        <w:t xml:space="preserve"> and there is </w:t>
      </w:r>
      <w:r w:rsidR="00070A7C" w:rsidRPr="00DE67CD">
        <w:t>broad s</w:t>
      </w:r>
      <w:r w:rsidR="00070A7C">
        <w:t xml:space="preserve">upport for </w:t>
      </w:r>
      <w:r w:rsidR="00070A7C" w:rsidRPr="00DE67CD">
        <w:t>grow</w:t>
      </w:r>
      <w:r>
        <w:t>ing</w:t>
      </w:r>
      <w:r w:rsidR="00070A7C" w:rsidRPr="00DE67CD">
        <w:t xml:space="preserve"> </w:t>
      </w:r>
      <w:r w:rsidR="00070A7C">
        <w:t>the sector</w:t>
      </w:r>
      <w:r>
        <w:t xml:space="preserve">, and driving maximum value from investment in it, through </w:t>
      </w:r>
      <w:r w:rsidR="003F1EF5">
        <w:t xml:space="preserve">better co-ordination of funding sources and more </w:t>
      </w:r>
      <w:r>
        <w:t>effective promotion</w:t>
      </w:r>
      <w:r w:rsidR="003F1EF5">
        <w:t xml:space="preserve"> of events</w:t>
      </w:r>
      <w:r w:rsidR="00070A7C">
        <w:t>.</w:t>
      </w:r>
      <w:r w:rsidR="00070A7C" w:rsidRPr="00DE67CD">
        <w:t xml:space="preserve"> </w:t>
      </w:r>
    </w:p>
    <w:p w:rsidR="00070A7C" w:rsidRDefault="00070A7C" w:rsidP="00EB546E">
      <w:pPr>
        <w:spacing w:after="0"/>
      </w:pPr>
    </w:p>
    <w:p w:rsidR="005037D4" w:rsidRPr="003F1EF5" w:rsidRDefault="003F1EF5" w:rsidP="00EB546E">
      <w:pPr>
        <w:spacing w:after="0"/>
        <w:rPr>
          <w:b/>
        </w:rPr>
      </w:pPr>
      <w:r w:rsidRPr="003F1EF5">
        <w:rPr>
          <w:b/>
        </w:rPr>
        <w:t>Approach</w:t>
      </w:r>
    </w:p>
    <w:p w:rsidR="00B37660" w:rsidRDefault="00B37660" w:rsidP="00070A7C">
      <w:pPr>
        <w:spacing w:after="0"/>
      </w:pPr>
    </w:p>
    <w:p w:rsidR="00070A7C" w:rsidRPr="00DE67CD" w:rsidRDefault="00BA5A5C" w:rsidP="00070A7C">
      <w:pPr>
        <w:spacing w:after="0"/>
      </w:pPr>
      <w:r>
        <w:t xml:space="preserve">Birmingham City Council has consulted over 50 festival organisations in the city and held discussions with strategic partners.  It </w:t>
      </w:r>
      <w:r w:rsidR="00070A7C">
        <w:t xml:space="preserve">has considered how </w:t>
      </w:r>
      <w:r w:rsidR="00070A7C" w:rsidRPr="00DE67CD">
        <w:t>three comparator cities</w:t>
      </w:r>
      <w:r w:rsidR="00070A7C">
        <w:t>,</w:t>
      </w:r>
      <w:r w:rsidR="00070A7C" w:rsidRPr="00DE67CD">
        <w:t xml:space="preserve"> Edinburgh; Montreal; and Rotterdam</w:t>
      </w:r>
      <w:r w:rsidR="006A6D0C">
        <w:t>,</w:t>
      </w:r>
      <w:r w:rsidR="00070A7C">
        <w:t xml:space="preserve"> all of which hav</w:t>
      </w:r>
      <w:r w:rsidR="006A6D0C">
        <w:t>e</w:t>
      </w:r>
      <w:r w:rsidR="00070A7C" w:rsidRPr="00DE67CD">
        <w:t xml:space="preserve"> </w:t>
      </w:r>
      <w:r w:rsidR="003F1EF5">
        <w:t xml:space="preserve">international </w:t>
      </w:r>
      <w:r w:rsidR="00070A7C" w:rsidRPr="00DE67CD">
        <w:t>reputation</w:t>
      </w:r>
      <w:r w:rsidR="003F1EF5">
        <w:t>s as “festival cities”, successfully</w:t>
      </w:r>
      <w:r w:rsidR="00070A7C" w:rsidRPr="00DE67CD">
        <w:t xml:space="preserve"> </w:t>
      </w:r>
      <w:r w:rsidR="00070A7C">
        <w:t xml:space="preserve">support </w:t>
      </w:r>
      <w:r w:rsidR="00070A7C" w:rsidRPr="00DE67CD">
        <w:t>gro</w:t>
      </w:r>
      <w:r w:rsidR="00070A7C">
        <w:t>wth and development</w:t>
      </w:r>
      <w:r w:rsidR="00070A7C" w:rsidRPr="00DE67CD">
        <w:t xml:space="preserve">. </w:t>
      </w:r>
      <w:r w:rsidR="003F1EF5">
        <w:t xml:space="preserve"> </w:t>
      </w:r>
      <w:r w:rsidR="00070A7C" w:rsidRPr="00DE67CD">
        <w:t xml:space="preserve">The best practice from these has been </w:t>
      </w:r>
      <w:r w:rsidR="003F1EF5">
        <w:t xml:space="preserve">assimilated and </w:t>
      </w:r>
      <w:r w:rsidR="00070A7C" w:rsidRPr="00DE67CD">
        <w:t xml:space="preserve">blended into </w:t>
      </w:r>
      <w:r w:rsidR="003F1EF5">
        <w:t xml:space="preserve">a new strategic approach </w:t>
      </w:r>
      <w:r w:rsidR="00070A7C" w:rsidRPr="00DE67CD">
        <w:t>tailored specifically for Birmingham.</w:t>
      </w:r>
      <w:r>
        <w:t xml:space="preserve"> </w:t>
      </w:r>
    </w:p>
    <w:p w:rsidR="00070A7C" w:rsidRDefault="00070A7C" w:rsidP="00EB546E">
      <w:pPr>
        <w:spacing w:after="0"/>
      </w:pPr>
    </w:p>
    <w:p w:rsidR="006A6D0C" w:rsidRDefault="006A6D0C" w:rsidP="006A6D0C">
      <w:pPr>
        <w:spacing w:after="0"/>
      </w:pPr>
      <w:r>
        <w:t xml:space="preserve">There are a number of different types of festivals and events in Birmingham, </w:t>
      </w:r>
      <w:r w:rsidR="00FB615C">
        <w:t>which can be categorised as follows:</w:t>
      </w:r>
    </w:p>
    <w:p w:rsidR="006A6D0C" w:rsidRDefault="006A6D0C" w:rsidP="006A6D0C">
      <w:pPr>
        <w:spacing w:after="0"/>
      </w:pPr>
    </w:p>
    <w:p w:rsidR="003F1EF5" w:rsidRDefault="003F1EF5" w:rsidP="003F1EF5">
      <w:pPr>
        <w:pStyle w:val="ListParagraph"/>
        <w:numPr>
          <w:ilvl w:val="0"/>
          <w:numId w:val="3"/>
        </w:numPr>
        <w:spacing w:after="0"/>
        <w:ind w:left="426" w:hanging="426"/>
      </w:pPr>
      <w:r>
        <w:t>Large Scale</w:t>
      </w:r>
      <w:r w:rsidRPr="00376161">
        <w:t xml:space="preserve"> Arts </w:t>
      </w:r>
      <w:r>
        <w:t xml:space="preserve">&amp; Culture </w:t>
      </w:r>
      <w:r w:rsidRPr="00376161">
        <w:t>Festivals</w:t>
      </w:r>
    </w:p>
    <w:p w:rsidR="003F1EF5" w:rsidRPr="00376161" w:rsidRDefault="003F1EF5" w:rsidP="003F1EF5">
      <w:pPr>
        <w:pStyle w:val="ListParagraph"/>
        <w:numPr>
          <w:ilvl w:val="0"/>
          <w:numId w:val="3"/>
        </w:numPr>
        <w:spacing w:after="0"/>
        <w:ind w:left="426" w:hanging="426"/>
      </w:pPr>
      <w:r>
        <w:t>Small Scale Arts &amp; Culture Festivals</w:t>
      </w:r>
    </w:p>
    <w:p w:rsidR="003F1EF5" w:rsidRPr="00376161" w:rsidRDefault="003F1EF5" w:rsidP="003F1EF5">
      <w:pPr>
        <w:pStyle w:val="ListParagraph"/>
        <w:numPr>
          <w:ilvl w:val="0"/>
          <w:numId w:val="3"/>
        </w:numPr>
        <w:spacing w:after="0"/>
        <w:ind w:left="426" w:hanging="426"/>
      </w:pPr>
      <w:r w:rsidRPr="00376161">
        <w:t>Commercial Music Festivals</w:t>
      </w:r>
    </w:p>
    <w:p w:rsidR="006A6D0C" w:rsidRPr="00376161" w:rsidRDefault="006A6D0C" w:rsidP="00376161">
      <w:pPr>
        <w:pStyle w:val="ListParagraph"/>
        <w:numPr>
          <w:ilvl w:val="0"/>
          <w:numId w:val="3"/>
        </w:numPr>
        <w:spacing w:after="0"/>
        <w:ind w:left="426" w:hanging="426"/>
      </w:pPr>
      <w:r w:rsidRPr="00376161">
        <w:t>Community Festivals</w:t>
      </w:r>
    </w:p>
    <w:p w:rsidR="006A6D0C" w:rsidRPr="00376161" w:rsidRDefault="006A6D0C" w:rsidP="00376161">
      <w:pPr>
        <w:pStyle w:val="ListParagraph"/>
        <w:numPr>
          <w:ilvl w:val="0"/>
          <w:numId w:val="3"/>
        </w:numPr>
        <w:spacing w:after="0"/>
        <w:ind w:left="426" w:hanging="426"/>
      </w:pPr>
      <w:r w:rsidRPr="00376161">
        <w:t>Civic Events</w:t>
      </w:r>
    </w:p>
    <w:p w:rsidR="006A6D0C" w:rsidRPr="00376161" w:rsidRDefault="003F1EF5" w:rsidP="00376161">
      <w:pPr>
        <w:pStyle w:val="ListParagraph"/>
        <w:numPr>
          <w:ilvl w:val="0"/>
          <w:numId w:val="3"/>
        </w:numPr>
        <w:spacing w:after="0"/>
        <w:ind w:left="426" w:hanging="426"/>
      </w:pPr>
      <w:r>
        <w:t xml:space="preserve">Major </w:t>
      </w:r>
      <w:r w:rsidR="006A6D0C" w:rsidRPr="00376161">
        <w:t>Sports Events</w:t>
      </w:r>
    </w:p>
    <w:p w:rsidR="006A6D0C" w:rsidRDefault="006A6D0C" w:rsidP="00376161">
      <w:pPr>
        <w:spacing w:after="0"/>
        <w:rPr>
          <w:b/>
        </w:rPr>
      </w:pPr>
    </w:p>
    <w:p w:rsidR="00FB615C" w:rsidRDefault="006A6D0C">
      <w:pPr>
        <w:spacing w:after="0"/>
      </w:pPr>
      <w:r>
        <w:lastRenderedPageBreak/>
        <w:t>This Festivals Strategy focuses on support for the larger arts and cultural festivals including commercial music festivals</w:t>
      </w:r>
      <w:r w:rsidR="00FB615C">
        <w:t>.</w:t>
      </w:r>
      <w:r w:rsidR="003F1EF5">
        <w:t xml:space="preserve">  At the same time, the approach taken will enable more effective co-ordination and promotion of other events and festivals in the city, creating a more coherent visitor offer with greater impact.</w:t>
      </w:r>
      <w:r w:rsidR="00FB615C">
        <w:t xml:space="preserve"> </w:t>
      </w:r>
    </w:p>
    <w:p w:rsidR="003F1EF5" w:rsidRDefault="003F1EF5">
      <w:pPr>
        <w:spacing w:after="0"/>
        <w:rPr>
          <w:b/>
        </w:rPr>
      </w:pPr>
    </w:p>
    <w:p w:rsidR="000F6C94" w:rsidRDefault="000F6C94">
      <w:pPr>
        <w:spacing w:after="0"/>
        <w:rPr>
          <w:b/>
        </w:rPr>
      </w:pPr>
    </w:p>
    <w:p w:rsidR="003F1EF5" w:rsidRPr="003F1EF5" w:rsidRDefault="003F1EF5">
      <w:pPr>
        <w:spacing w:after="0"/>
        <w:rPr>
          <w:b/>
        </w:rPr>
      </w:pPr>
      <w:r w:rsidRPr="003F1EF5">
        <w:rPr>
          <w:b/>
        </w:rPr>
        <w:t>Festivals Birmingham</w:t>
      </w:r>
    </w:p>
    <w:p w:rsidR="00B37660" w:rsidRDefault="00B37660">
      <w:pPr>
        <w:spacing w:after="0"/>
      </w:pPr>
    </w:p>
    <w:p w:rsidR="00FB615C" w:rsidRDefault="003F1EF5">
      <w:pPr>
        <w:spacing w:after="0"/>
      </w:pPr>
      <w:r>
        <w:t xml:space="preserve">Birmingham City Council </w:t>
      </w:r>
      <w:r w:rsidR="00D76978">
        <w:t xml:space="preserve">will </w:t>
      </w:r>
      <w:r w:rsidR="00FB615C">
        <w:t>establish</w:t>
      </w:r>
      <w:r w:rsidR="00FB615C" w:rsidRPr="00DE67CD">
        <w:t xml:space="preserve"> </w:t>
      </w:r>
      <w:r w:rsidR="00FB615C" w:rsidRPr="00DE67CD">
        <w:rPr>
          <w:i/>
        </w:rPr>
        <w:t xml:space="preserve">Festivals Birmingham, </w:t>
      </w:r>
      <w:r w:rsidR="00FB615C" w:rsidRPr="00DE67CD">
        <w:t>a unit to support, develop and fund the arts and cultural festivals in the City</w:t>
      </w:r>
      <w:r w:rsidR="00D76978">
        <w:t xml:space="preserve">.  The Council will </w:t>
      </w:r>
      <w:r w:rsidR="00FB615C" w:rsidRPr="00DE67CD">
        <w:t>work in partnership with other key funders</w:t>
      </w:r>
      <w:r w:rsidR="00D76978">
        <w:t xml:space="preserve"> on the Board of this unit, commissioning activities against clear criteria relating to economic, social and cultural impact</w:t>
      </w:r>
      <w:r w:rsidR="00FB615C">
        <w:t>.</w:t>
      </w:r>
    </w:p>
    <w:p w:rsidR="002B1AC9" w:rsidRDefault="002B1AC9">
      <w:pPr>
        <w:spacing w:after="0"/>
      </w:pPr>
    </w:p>
    <w:p w:rsidR="002B1AC9" w:rsidRDefault="002B1AC9" w:rsidP="002B1AC9">
      <w:pPr>
        <w:spacing w:after="0"/>
        <w:rPr>
          <w:b/>
        </w:rPr>
      </w:pPr>
      <w:r w:rsidRPr="00610969">
        <w:rPr>
          <w:b/>
        </w:rPr>
        <w:t>Mission</w:t>
      </w:r>
    </w:p>
    <w:p w:rsidR="00B37660" w:rsidRDefault="00B37660" w:rsidP="002B1AC9">
      <w:pPr>
        <w:spacing w:after="0"/>
      </w:pPr>
    </w:p>
    <w:p w:rsidR="002B1AC9" w:rsidRDefault="002B1AC9" w:rsidP="002B1AC9">
      <w:pPr>
        <w:spacing w:after="0"/>
      </w:pPr>
      <w:r>
        <w:t>Birmingham aspires to be a leading UK and international destination for cultural festivals and events that both attract cultural tourists to visit and stay in the city, and provide a vibrant programme for residents to enjoy, thereby generating positive economic benefit for Birmingham, contributing to the cultural development of the city and providing amenity for its residents.</w:t>
      </w:r>
    </w:p>
    <w:p w:rsidR="002B1AC9" w:rsidRDefault="002B1AC9" w:rsidP="002B1AC9">
      <w:pPr>
        <w:spacing w:after="0"/>
      </w:pPr>
    </w:p>
    <w:p w:rsidR="002B1AC9" w:rsidRPr="002B1AC9" w:rsidRDefault="002B1AC9" w:rsidP="002B1AC9">
      <w:pPr>
        <w:spacing w:after="0"/>
        <w:rPr>
          <w:b/>
        </w:rPr>
      </w:pPr>
      <w:r w:rsidRPr="002B1AC9">
        <w:rPr>
          <w:b/>
        </w:rPr>
        <w:t>Aims</w:t>
      </w:r>
    </w:p>
    <w:p w:rsidR="00B37660" w:rsidRDefault="00B37660" w:rsidP="002B1AC9">
      <w:pPr>
        <w:spacing w:after="0"/>
        <w:rPr>
          <w:i/>
        </w:rPr>
      </w:pPr>
    </w:p>
    <w:p w:rsidR="002B1AC9" w:rsidRDefault="002B1AC9" w:rsidP="002B1AC9">
      <w:pPr>
        <w:spacing w:after="0"/>
      </w:pPr>
      <w:r w:rsidRPr="00DB46B5">
        <w:rPr>
          <w:i/>
        </w:rPr>
        <w:t xml:space="preserve">Festivals Birmingham </w:t>
      </w:r>
      <w:r>
        <w:t>aims to support this mission by:</w:t>
      </w:r>
    </w:p>
    <w:p w:rsidR="002B1AC9" w:rsidRPr="00610969" w:rsidRDefault="002B1AC9" w:rsidP="002B1AC9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rPr>
          <w:lang w:val="nl-NL"/>
        </w:rPr>
      </w:pPr>
      <w:r w:rsidRPr="00610969">
        <w:rPr>
          <w:lang w:val="nl-NL"/>
        </w:rPr>
        <w:t>Ensuring a balanced festival programme for residents and tourists accross the year</w:t>
      </w:r>
    </w:p>
    <w:p w:rsidR="002B1AC9" w:rsidRPr="00E27A2C" w:rsidRDefault="002B1AC9" w:rsidP="002B1AC9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rPr>
          <w:lang w:val="nl-NL"/>
        </w:rPr>
      </w:pPr>
      <w:r w:rsidRPr="00610969">
        <w:rPr>
          <w:lang w:val="nl-NL"/>
        </w:rPr>
        <w:t>Encouraging a positive image for the City as a culturaly vibrant place to visit</w:t>
      </w:r>
    </w:p>
    <w:p w:rsidR="002B1AC9" w:rsidRPr="003F1B2A" w:rsidRDefault="002B1AC9" w:rsidP="003F1B2A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rPr>
          <w:lang w:val="nl-NL"/>
        </w:rPr>
      </w:pPr>
      <w:r w:rsidRPr="00610969">
        <w:rPr>
          <w:lang w:val="nl-NL"/>
        </w:rPr>
        <w:t>Creating a knowledge centre for festivals and providing Birmingham’</w:t>
      </w:r>
      <w:r>
        <w:rPr>
          <w:lang w:val="nl-NL"/>
        </w:rPr>
        <w:t>s</w:t>
      </w:r>
      <w:r w:rsidRPr="00610969">
        <w:rPr>
          <w:lang w:val="nl-NL"/>
        </w:rPr>
        <w:t xml:space="preserve"> cultural community and festival organisers access to speci</w:t>
      </w:r>
      <w:r>
        <w:rPr>
          <w:lang w:val="nl-NL"/>
        </w:rPr>
        <w:t>a</w:t>
      </w:r>
      <w:r w:rsidRPr="00610969">
        <w:rPr>
          <w:lang w:val="nl-NL"/>
        </w:rPr>
        <w:t>lised expertise and services</w:t>
      </w:r>
      <w:bookmarkStart w:id="0" w:name="_GoBack"/>
      <w:bookmarkEnd w:id="0"/>
    </w:p>
    <w:p w:rsidR="002B1AC9" w:rsidRPr="003D5093" w:rsidRDefault="002B1AC9" w:rsidP="002B1AC9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rPr>
          <w:lang w:val="en-US"/>
        </w:rPr>
      </w:pPr>
      <w:r>
        <w:rPr>
          <w:lang w:val="nl-NL"/>
        </w:rPr>
        <w:t xml:space="preserve">Establishing </w:t>
      </w:r>
      <w:r w:rsidRPr="00610969">
        <w:t xml:space="preserve">an </w:t>
      </w:r>
      <w:r>
        <w:t xml:space="preserve">investment programme, linked to clear criteria for support and based on </w:t>
      </w:r>
      <w:r w:rsidRPr="00610969">
        <w:t xml:space="preserve">independent </w:t>
      </w:r>
      <w:r>
        <w:t xml:space="preserve">and objective </w:t>
      </w:r>
      <w:r w:rsidRPr="00610969">
        <w:t>judgement</w:t>
      </w:r>
      <w:r>
        <w:t xml:space="preserve"> of potential impact</w:t>
      </w:r>
      <w:r w:rsidR="003D5093">
        <w:t>,</w:t>
      </w:r>
      <w:r w:rsidRPr="00610969">
        <w:t xml:space="preserve"> and allows for forward planning</w:t>
      </w:r>
      <w:r>
        <w:t>.</w:t>
      </w:r>
    </w:p>
    <w:p w:rsidR="003D5093" w:rsidRDefault="003D5093" w:rsidP="003D5093">
      <w:pPr>
        <w:spacing w:after="0"/>
      </w:pPr>
    </w:p>
    <w:p w:rsidR="003D5093" w:rsidRPr="003D5093" w:rsidRDefault="003D5093" w:rsidP="003D5093">
      <w:pPr>
        <w:spacing w:after="0"/>
        <w:rPr>
          <w:b/>
          <w:lang w:val="en-US"/>
        </w:rPr>
      </w:pPr>
      <w:r w:rsidRPr="003D5093">
        <w:rPr>
          <w:b/>
          <w:lang w:val="en-US"/>
        </w:rPr>
        <w:t>Investment Programme</w:t>
      </w:r>
    </w:p>
    <w:p w:rsidR="00B37660" w:rsidRDefault="00B37660" w:rsidP="003D5093">
      <w:pPr>
        <w:spacing w:after="0"/>
      </w:pPr>
    </w:p>
    <w:p w:rsidR="003D5093" w:rsidRDefault="003D5093" w:rsidP="003D5093">
      <w:pPr>
        <w:spacing w:after="0"/>
      </w:pPr>
      <w:r>
        <w:t>To establish the type and level of support provided festivals</w:t>
      </w:r>
      <w:r w:rsidRPr="00EC46CC">
        <w:t xml:space="preserve"> </w:t>
      </w:r>
      <w:r>
        <w:t xml:space="preserve">will be categorised </w:t>
      </w:r>
      <w:r w:rsidRPr="00EC46CC">
        <w:t>into three groups:</w:t>
      </w:r>
    </w:p>
    <w:p w:rsidR="003D5093" w:rsidRDefault="003D5093" w:rsidP="003D5093">
      <w:pPr>
        <w:pStyle w:val="Heading1"/>
        <w:spacing w:after="0"/>
        <w:ind w:left="720"/>
      </w:pPr>
    </w:p>
    <w:p w:rsidR="003D5093" w:rsidRPr="003D5093" w:rsidRDefault="003D5093" w:rsidP="003D5093">
      <w:pPr>
        <w:pStyle w:val="ListParagraph"/>
        <w:spacing w:after="0"/>
        <w:rPr>
          <w:b/>
        </w:rPr>
      </w:pPr>
      <w:r w:rsidRPr="003D5093">
        <w:rPr>
          <w:b/>
        </w:rPr>
        <w:t>Signature Festivals</w:t>
      </w:r>
    </w:p>
    <w:p w:rsidR="003D5093" w:rsidRDefault="003D5093" w:rsidP="003D5093">
      <w:pPr>
        <w:pStyle w:val="ListParagraph"/>
        <w:spacing w:after="0"/>
      </w:pPr>
      <w:r w:rsidRPr="00D252E5">
        <w:t xml:space="preserve">These are established events that already have a national profile and visitors and have potential to generate more overnight stays in the </w:t>
      </w:r>
      <w:r>
        <w:t>City</w:t>
      </w:r>
      <w:r w:rsidRPr="00D252E5">
        <w:t>.</w:t>
      </w:r>
    </w:p>
    <w:p w:rsidR="003D5093" w:rsidRPr="00D252E5" w:rsidRDefault="003D5093" w:rsidP="003D5093">
      <w:pPr>
        <w:pStyle w:val="ListParagraph"/>
        <w:spacing w:after="0"/>
      </w:pPr>
      <w:r w:rsidRPr="00D252E5">
        <w:t xml:space="preserve">  </w:t>
      </w:r>
    </w:p>
    <w:p w:rsidR="003D5093" w:rsidRPr="003D5093" w:rsidRDefault="003D5093" w:rsidP="003D5093">
      <w:pPr>
        <w:pStyle w:val="ListParagraph"/>
        <w:spacing w:after="0"/>
        <w:rPr>
          <w:b/>
        </w:rPr>
      </w:pPr>
      <w:r w:rsidRPr="003D5093">
        <w:rPr>
          <w:b/>
        </w:rPr>
        <w:t xml:space="preserve">Growth Festivals </w:t>
      </w:r>
    </w:p>
    <w:p w:rsidR="003D5093" w:rsidRDefault="003D5093" w:rsidP="003D5093">
      <w:pPr>
        <w:pStyle w:val="ListParagraph"/>
        <w:spacing w:after="0"/>
      </w:pPr>
      <w:r w:rsidRPr="00D252E5">
        <w:t xml:space="preserve">These are established or growing events that have potential and ambition to achieve national profile and attract visitors to the </w:t>
      </w:r>
      <w:r>
        <w:t>City</w:t>
      </w:r>
      <w:r w:rsidRPr="00D252E5">
        <w:t xml:space="preserve">. </w:t>
      </w:r>
    </w:p>
    <w:p w:rsidR="003D5093" w:rsidRPr="00D252E5" w:rsidRDefault="003D5093" w:rsidP="003D5093">
      <w:pPr>
        <w:pStyle w:val="ListParagraph"/>
        <w:spacing w:after="0"/>
      </w:pPr>
    </w:p>
    <w:p w:rsidR="003D5093" w:rsidRPr="003D5093" w:rsidRDefault="003D5093" w:rsidP="003D5093">
      <w:pPr>
        <w:pStyle w:val="ListParagraph"/>
        <w:spacing w:after="0"/>
        <w:rPr>
          <w:b/>
        </w:rPr>
      </w:pPr>
      <w:r w:rsidRPr="003D5093">
        <w:rPr>
          <w:b/>
        </w:rPr>
        <w:t xml:space="preserve">New Festivals </w:t>
      </w:r>
    </w:p>
    <w:p w:rsidR="003D5093" w:rsidRDefault="003D5093" w:rsidP="003D5093">
      <w:pPr>
        <w:pStyle w:val="ListParagraph"/>
        <w:spacing w:after="0"/>
      </w:pPr>
      <w:r w:rsidRPr="00D252E5">
        <w:lastRenderedPageBreak/>
        <w:t>These are new or recently established events that have the ambition to become Growth or Signature events, although some will simply be one-off</w:t>
      </w:r>
      <w:r>
        <w:t>,</w:t>
      </w:r>
      <w:r w:rsidRPr="00D252E5">
        <w:t xml:space="preserve"> responding to specific situations.</w:t>
      </w:r>
      <w:r>
        <w:t xml:space="preserve"> </w:t>
      </w:r>
    </w:p>
    <w:p w:rsidR="002B1AC9" w:rsidRDefault="002B1AC9">
      <w:pPr>
        <w:spacing w:after="0"/>
      </w:pPr>
    </w:p>
    <w:p w:rsidR="003D5093" w:rsidRDefault="003D5093" w:rsidP="003D5093">
      <w:pPr>
        <w:spacing w:after="0"/>
      </w:pPr>
      <w:r w:rsidRPr="0012753B">
        <w:rPr>
          <w:i/>
        </w:rPr>
        <w:t xml:space="preserve">Festivals Birmingham </w:t>
      </w:r>
      <w:r>
        <w:t xml:space="preserve">will make </w:t>
      </w:r>
      <w:r w:rsidRPr="0012753B">
        <w:t>three year</w:t>
      </w:r>
      <w:r w:rsidRPr="0012753B">
        <w:rPr>
          <w:i/>
        </w:rPr>
        <w:t xml:space="preserve"> </w:t>
      </w:r>
      <w:r w:rsidRPr="0012753B">
        <w:t>commitment</w:t>
      </w:r>
      <w:r>
        <w:t>s</w:t>
      </w:r>
      <w:r w:rsidRPr="0012753B">
        <w:t xml:space="preserve"> </w:t>
      </w:r>
      <w:r>
        <w:t xml:space="preserve">to support Signature and Growth Festivals and one year commitments to New Festivals, starting in 2014-15. </w:t>
      </w:r>
    </w:p>
    <w:p w:rsidR="003D5093" w:rsidRDefault="003D5093">
      <w:pPr>
        <w:spacing w:after="0"/>
      </w:pPr>
    </w:p>
    <w:p w:rsidR="003D5093" w:rsidRDefault="003D5093">
      <w:pPr>
        <w:spacing w:after="0"/>
      </w:pPr>
    </w:p>
    <w:p w:rsidR="00D76978" w:rsidRPr="002B1AC9" w:rsidRDefault="002B1AC9">
      <w:pPr>
        <w:spacing w:after="0"/>
        <w:rPr>
          <w:b/>
        </w:rPr>
      </w:pPr>
      <w:r w:rsidRPr="002B1AC9">
        <w:rPr>
          <w:b/>
        </w:rPr>
        <w:t>Functions</w:t>
      </w:r>
    </w:p>
    <w:p w:rsidR="00B37660" w:rsidRDefault="00B37660">
      <w:pPr>
        <w:spacing w:after="0"/>
      </w:pPr>
    </w:p>
    <w:p w:rsidR="00D76978" w:rsidRDefault="00D76978">
      <w:pPr>
        <w:spacing w:after="0"/>
      </w:pPr>
      <w:r>
        <w:t xml:space="preserve">Festivals Birmingham will </w:t>
      </w:r>
    </w:p>
    <w:p w:rsidR="002B1AC9" w:rsidRDefault="00D76978" w:rsidP="002B1AC9">
      <w:pPr>
        <w:pStyle w:val="ListParagraph"/>
        <w:numPr>
          <w:ilvl w:val="0"/>
          <w:numId w:val="5"/>
        </w:numPr>
        <w:spacing w:after="0"/>
        <w:ind w:left="426" w:hanging="426"/>
      </w:pPr>
      <w:r>
        <w:t xml:space="preserve">Co-ordinate the </w:t>
      </w:r>
      <w:r w:rsidRPr="00BA1446">
        <w:t xml:space="preserve">Festival diary management </w:t>
      </w:r>
      <w:r w:rsidR="002B1AC9">
        <w:t xml:space="preserve">for Birmingham </w:t>
      </w:r>
    </w:p>
    <w:p w:rsidR="002B1AC9" w:rsidRDefault="002B1AC9" w:rsidP="002B1AC9">
      <w:pPr>
        <w:pStyle w:val="ListParagraph"/>
        <w:numPr>
          <w:ilvl w:val="0"/>
          <w:numId w:val="5"/>
        </w:numPr>
        <w:spacing w:after="0"/>
        <w:ind w:left="426" w:hanging="426"/>
      </w:pPr>
      <w:r>
        <w:t>Facilitate the success of events in the agreed programme, acting as a one-stop shop for navigating and brokerage of relationships between festivals and event organisations, the Council and other agencies</w:t>
      </w:r>
    </w:p>
    <w:p w:rsidR="002B1AC9" w:rsidRDefault="002B1AC9" w:rsidP="002B1AC9">
      <w:pPr>
        <w:pStyle w:val="ListParagraph"/>
        <w:numPr>
          <w:ilvl w:val="0"/>
          <w:numId w:val="5"/>
        </w:numPr>
        <w:spacing w:after="0"/>
        <w:ind w:left="426" w:hanging="426"/>
      </w:pPr>
      <w:r>
        <w:t>Co-ordinate c</w:t>
      </w:r>
      <w:r w:rsidRPr="00BA1446">
        <w:t>ity dressing and promotional spaces</w:t>
      </w:r>
      <w:r>
        <w:t xml:space="preserve"> controlled by the partners</w:t>
      </w:r>
    </w:p>
    <w:p w:rsidR="002B1AC9" w:rsidRPr="00BA1446" w:rsidRDefault="002B1AC9" w:rsidP="002B1AC9">
      <w:pPr>
        <w:pStyle w:val="ListParagraph"/>
        <w:numPr>
          <w:ilvl w:val="0"/>
          <w:numId w:val="5"/>
        </w:numPr>
        <w:spacing w:after="0"/>
        <w:ind w:left="426" w:hanging="426"/>
      </w:pPr>
      <w:r>
        <w:t>Co-ordinate marketing and press support</w:t>
      </w:r>
    </w:p>
    <w:p w:rsidR="002B1AC9" w:rsidRPr="00BA1446" w:rsidRDefault="002B1AC9" w:rsidP="002B1AC9">
      <w:pPr>
        <w:pStyle w:val="ListParagraph"/>
        <w:numPr>
          <w:ilvl w:val="0"/>
          <w:numId w:val="5"/>
        </w:numPr>
        <w:spacing w:after="0"/>
        <w:ind w:left="426" w:hanging="426"/>
      </w:pPr>
      <w:r>
        <w:t xml:space="preserve">Advise on and ensure the </w:t>
      </w:r>
      <w:r w:rsidRPr="00610969">
        <w:t>safe and orderly use of public spaces</w:t>
      </w:r>
    </w:p>
    <w:p w:rsidR="00D76978" w:rsidRDefault="002B1AC9" w:rsidP="00D76978">
      <w:pPr>
        <w:pStyle w:val="ListParagraph"/>
        <w:numPr>
          <w:ilvl w:val="0"/>
          <w:numId w:val="5"/>
        </w:numPr>
        <w:spacing w:after="0"/>
        <w:ind w:left="426" w:hanging="426"/>
      </w:pPr>
      <w:r>
        <w:t>Build i</w:t>
      </w:r>
      <w:r w:rsidR="00D76978" w:rsidRPr="00BA1446">
        <w:t>ntelligence</w:t>
      </w:r>
      <w:r>
        <w:t xml:space="preserve"> to create a database of suitable city spaces</w:t>
      </w:r>
      <w:r w:rsidR="00D76978" w:rsidRPr="00BA1446">
        <w:t xml:space="preserve"> and broker acc</w:t>
      </w:r>
      <w:r>
        <w:t>ess to them</w:t>
      </w:r>
    </w:p>
    <w:p w:rsidR="00D76978" w:rsidRPr="00BA1446" w:rsidRDefault="002B1AC9" w:rsidP="00D76978">
      <w:pPr>
        <w:pStyle w:val="ListParagraph"/>
        <w:numPr>
          <w:ilvl w:val="0"/>
          <w:numId w:val="5"/>
        </w:numPr>
        <w:spacing w:after="0"/>
        <w:ind w:left="426" w:hanging="426"/>
      </w:pPr>
      <w:r>
        <w:t xml:space="preserve">Provide professional advice and guidance and facilitate </w:t>
      </w:r>
      <w:r w:rsidR="00D76978" w:rsidRPr="00BA1446">
        <w:t>a festivals network</w:t>
      </w:r>
      <w:r>
        <w:t>ing</w:t>
      </w:r>
      <w:r w:rsidR="00D76978" w:rsidRPr="00BA1446">
        <w:t xml:space="preserve"> group </w:t>
      </w:r>
    </w:p>
    <w:p w:rsidR="00D76978" w:rsidRDefault="002B1AC9" w:rsidP="00D76978">
      <w:pPr>
        <w:pStyle w:val="ListParagraph"/>
        <w:numPr>
          <w:ilvl w:val="0"/>
          <w:numId w:val="5"/>
        </w:numPr>
        <w:spacing w:after="0"/>
        <w:ind w:left="426" w:hanging="426"/>
      </w:pPr>
      <w:r>
        <w:t>Oversee</w:t>
      </w:r>
      <w:r w:rsidR="00D76978" w:rsidRPr="00BA1446">
        <w:t xml:space="preserve"> the festivals investment process </w:t>
      </w:r>
    </w:p>
    <w:p w:rsidR="002B1AC9" w:rsidRDefault="002B1AC9" w:rsidP="002B1AC9">
      <w:pPr>
        <w:spacing w:after="0"/>
      </w:pPr>
    </w:p>
    <w:p w:rsidR="002B1AC9" w:rsidRPr="00BA1446" w:rsidRDefault="002B1AC9" w:rsidP="002B1AC9">
      <w:pPr>
        <w:spacing w:after="0"/>
      </w:pPr>
      <w:r>
        <w:t xml:space="preserve">It will explore </w:t>
      </w:r>
    </w:p>
    <w:p w:rsidR="00D76978" w:rsidRPr="00BA1446" w:rsidRDefault="002B1AC9" w:rsidP="00D76978">
      <w:pPr>
        <w:pStyle w:val="ListParagraph"/>
        <w:numPr>
          <w:ilvl w:val="0"/>
          <w:numId w:val="5"/>
        </w:numPr>
        <w:spacing w:after="0"/>
        <w:ind w:left="426" w:hanging="426"/>
      </w:pPr>
      <w:r>
        <w:t>N</w:t>
      </w:r>
      <w:r w:rsidR="00D76978" w:rsidRPr="00BA1446">
        <w:t xml:space="preserve">ew </w:t>
      </w:r>
      <w:r w:rsidR="003D5093">
        <w:t xml:space="preserve">sources of </w:t>
      </w:r>
      <w:r w:rsidR="00D76978" w:rsidRPr="00BA1446">
        <w:t>investment</w:t>
      </w:r>
      <w:r>
        <w:t xml:space="preserve"> to support the programme</w:t>
      </w:r>
    </w:p>
    <w:p w:rsidR="00D76978" w:rsidRPr="00BA1446" w:rsidRDefault="002B1AC9" w:rsidP="002B1AC9">
      <w:pPr>
        <w:pStyle w:val="ListParagraph"/>
        <w:numPr>
          <w:ilvl w:val="0"/>
          <w:numId w:val="5"/>
        </w:numPr>
        <w:spacing w:after="0"/>
        <w:ind w:left="426" w:hanging="426"/>
      </w:pPr>
      <w:r>
        <w:t>The potential for co-ordination of</w:t>
      </w:r>
      <w:r w:rsidR="00D76978" w:rsidRPr="00BA1446">
        <w:t xml:space="preserve"> an intern scheme </w:t>
      </w:r>
      <w:r>
        <w:t>and volunteering programme</w:t>
      </w:r>
    </w:p>
    <w:p w:rsidR="00DE276B" w:rsidRDefault="00D76978" w:rsidP="00DE276B">
      <w:pPr>
        <w:pStyle w:val="ListParagraph"/>
        <w:numPr>
          <w:ilvl w:val="0"/>
          <w:numId w:val="5"/>
        </w:numPr>
        <w:spacing w:after="0"/>
        <w:ind w:left="426" w:hanging="426"/>
      </w:pPr>
      <w:r w:rsidRPr="00BA1446">
        <w:t>Mentoring and capacity building for start-up festivals</w:t>
      </w:r>
    </w:p>
    <w:p w:rsidR="00FB615C" w:rsidRDefault="00FB615C">
      <w:pPr>
        <w:spacing w:after="0"/>
      </w:pPr>
    </w:p>
    <w:p w:rsidR="002B1AC9" w:rsidRDefault="002B1AC9">
      <w:pPr>
        <w:spacing w:after="0"/>
      </w:pPr>
    </w:p>
    <w:p w:rsidR="002B1AC9" w:rsidRPr="003D5093" w:rsidRDefault="003D5093">
      <w:pPr>
        <w:spacing w:after="0"/>
        <w:rPr>
          <w:b/>
        </w:rPr>
      </w:pPr>
      <w:r w:rsidRPr="003D5093">
        <w:rPr>
          <w:b/>
        </w:rPr>
        <w:t>Next Steps</w:t>
      </w:r>
      <w:r w:rsidR="00B37660">
        <w:rPr>
          <w:b/>
        </w:rPr>
        <w:br/>
      </w:r>
    </w:p>
    <w:p w:rsidR="003D5093" w:rsidRDefault="003D5093" w:rsidP="003D5093">
      <w:pPr>
        <w:pStyle w:val="ListParagraph"/>
        <w:numPr>
          <w:ilvl w:val="0"/>
          <w:numId w:val="8"/>
        </w:numPr>
        <w:spacing w:after="0"/>
      </w:pPr>
      <w:r>
        <w:t>To establish the Board of Festivals Birmingham and agree its Terms of Reference</w:t>
      </w:r>
    </w:p>
    <w:p w:rsidR="00DE276B" w:rsidRDefault="003D5093" w:rsidP="003D5093">
      <w:pPr>
        <w:pStyle w:val="ListParagraph"/>
        <w:numPr>
          <w:ilvl w:val="0"/>
          <w:numId w:val="8"/>
        </w:numPr>
        <w:spacing w:after="0"/>
      </w:pPr>
      <w:r>
        <w:t>To determine robust criteria on which to base investment decisions to ensure a balanced programme</w:t>
      </w:r>
      <w:r w:rsidR="00DE276B">
        <w:t xml:space="preserve"> and to develop an evaluation framework</w:t>
      </w:r>
      <w:r w:rsidRPr="003D5093">
        <w:t xml:space="preserve"> </w:t>
      </w:r>
    </w:p>
    <w:p w:rsidR="003D5093" w:rsidRDefault="00DE276B" w:rsidP="003D5093">
      <w:pPr>
        <w:pStyle w:val="ListParagraph"/>
        <w:numPr>
          <w:ilvl w:val="0"/>
          <w:numId w:val="8"/>
        </w:numPr>
        <w:spacing w:after="0"/>
      </w:pPr>
      <w:r>
        <w:t>T</w:t>
      </w:r>
      <w:r w:rsidR="003D5093">
        <w:t>o administer an open access investment programme for 2014-17 in a transparent manner</w:t>
      </w:r>
    </w:p>
    <w:p w:rsidR="003D5093" w:rsidRDefault="003D5093" w:rsidP="003D5093">
      <w:pPr>
        <w:pStyle w:val="ListParagraph"/>
        <w:numPr>
          <w:ilvl w:val="0"/>
          <w:numId w:val="8"/>
        </w:numPr>
        <w:spacing w:after="0"/>
      </w:pPr>
      <w:r>
        <w:t>To develop clear roles and responsibilities for staff</w:t>
      </w:r>
    </w:p>
    <w:p w:rsidR="003D5093" w:rsidRDefault="003D5093" w:rsidP="003D5093">
      <w:pPr>
        <w:pStyle w:val="ListParagraph"/>
        <w:numPr>
          <w:ilvl w:val="0"/>
          <w:numId w:val="8"/>
        </w:numPr>
        <w:spacing w:after="0"/>
      </w:pPr>
      <w:r>
        <w:t>To develop a marketing strategy and a policy for the co-ordination of promotional resources</w:t>
      </w:r>
    </w:p>
    <w:p w:rsidR="003D5093" w:rsidRDefault="00DE276B" w:rsidP="003D5093">
      <w:pPr>
        <w:pStyle w:val="ListParagraph"/>
        <w:numPr>
          <w:ilvl w:val="0"/>
          <w:numId w:val="8"/>
        </w:numPr>
        <w:spacing w:after="0"/>
      </w:pPr>
      <w:r>
        <w:t>To bring forward proposals for policies and practices in relation to health and safety and development of a database of spaces</w:t>
      </w:r>
    </w:p>
    <w:p w:rsidR="00DE276B" w:rsidRDefault="00DE276B" w:rsidP="003D5093">
      <w:pPr>
        <w:pStyle w:val="ListParagraph"/>
        <w:numPr>
          <w:ilvl w:val="0"/>
          <w:numId w:val="8"/>
        </w:numPr>
        <w:spacing w:after="0"/>
      </w:pPr>
      <w:r>
        <w:t>To establish a networking group for festivals</w:t>
      </w:r>
    </w:p>
    <w:sectPr w:rsidR="00DE276B" w:rsidSect="00C057D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C6" w:rsidRDefault="00107CC6" w:rsidP="00C057D3">
      <w:pPr>
        <w:spacing w:after="0"/>
      </w:pPr>
      <w:r>
        <w:separator/>
      </w:r>
    </w:p>
  </w:endnote>
  <w:endnote w:type="continuationSeparator" w:id="0">
    <w:p w:rsidR="00107CC6" w:rsidRDefault="00107CC6" w:rsidP="00C057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996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6C94" w:rsidRDefault="000F6C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B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C94" w:rsidRDefault="000F6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C6" w:rsidRDefault="00107CC6" w:rsidP="00C057D3">
      <w:pPr>
        <w:spacing w:after="0"/>
      </w:pPr>
      <w:r>
        <w:separator/>
      </w:r>
    </w:p>
  </w:footnote>
  <w:footnote w:type="continuationSeparator" w:id="0">
    <w:p w:rsidR="00107CC6" w:rsidRDefault="00107CC6" w:rsidP="00C057D3">
      <w:pPr>
        <w:spacing w:after="0"/>
      </w:pPr>
      <w:r>
        <w:continuationSeparator/>
      </w:r>
    </w:p>
  </w:footnote>
  <w:footnote w:id="1">
    <w:p w:rsidR="00DE276B" w:rsidRDefault="00DE276B">
      <w:pPr>
        <w:pStyle w:val="FootnoteText"/>
      </w:pPr>
      <w:r>
        <w:rPr>
          <w:rStyle w:val="FootnoteReference"/>
        </w:rPr>
        <w:footnoteRef/>
      </w:r>
      <w:r>
        <w:t xml:space="preserve"> This document summarises the strategy produced by Festivals and Events International for Birmingham City Council in May 2013.  The strategy will underpin a Green Paper on support of cultural events to be </w:t>
      </w:r>
      <w:r w:rsidR="00200138">
        <w:t>issued in July 2013 as a means to engaging local residents in a dialogue to inform the Council’s budget consultation for 2014+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D3" w:rsidRPr="00C057D3" w:rsidRDefault="00C057D3">
    <w:pPr>
      <w:pStyle w:val="Header"/>
      <w:rPr>
        <w:b/>
        <w:color w:val="808080" w:themeColor="background1" w:themeShade="80"/>
      </w:rPr>
    </w:pPr>
    <w:r w:rsidRPr="00C057D3">
      <w:rPr>
        <w:b/>
        <w:color w:val="808080" w:themeColor="background1" w:themeShade="80"/>
      </w:rPr>
      <w:t>Birmingham Festival Strategy 2014 - 2017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8D"/>
    <w:multiLevelType w:val="hybridMultilevel"/>
    <w:tmpl w:val="B27A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5AEC"/>
    <w:multiLevelType w:val="hybridMultilevel"/>
    <w:tmpl w:val="D986A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0AA3"/>
    <w:multiLevelType w:val="hybridMultilevel"/>
    <w:tmpl w:val="7974C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08E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AA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83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49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43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C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AB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CF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CB7865"/>
    <w:multiLevelType w:val="hybridMultilevel"/>
    <w:tmpl w:val="05E2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21916"/>
    <w:multiLevelType w:val="hybridMultilevel"/>
    <w:tmpl w:val="22C42FAE"/>
    <w:lvl w:ilvl="0" w:tplc="08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">
    <w:nsid w:val="457F4ECA"/>
    <w:multiLevelType w:val="hybridMultilevel"/>
    <w:tmpl w:val="A1D26FEE"/>
    <w:lvl w:ilvl="0" w:tplc="2A08BE0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229A3"/>
    <w:multiLevelType w:val="hybridMultilevel"/>
    <w:tmpl w:val="F548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C629F"/>
    <w:multiLevelType w:val="hybridMultilevel"/>
    <w:tmpl w:val="87CA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D3"/>
    <w:rsid w:val="00070A7C"/>
    <w:rsid w:val="000D3BFB"/>
    <w:rsid w:val="000F6C94"/>
    <w:rsid w:val="00107CC6"/>
    <w:rsid w:val="00110AF0"/>
    <w:rsid w:val="00137162"/>
    <w:rsid w:val="001A473C"/>
    <w:rsid w:val="00200138"/>
    <w:rsid w:val="002B1AC9"/>
    <w:rsid w:val="002E1DC7"/>
    <w:rsid w:val="002E38D2"/>
    <w:rsid w:val="00376161"/>
    <w:rsid w:val="003D5093"/>
    <w:rsid w:val="003F1B2A"/>
    <w:rsid w:val="003F1EF5"/>
    <w:rsid w:val="005037D4"/>
    <w:rsid w:val="00562436"/>
    <w:rsid w:val="0059562F"/>
    <w:rsid w:val="006A6D0C"/>
    <w:rsid w:val="007A39B2"/>
    <w:rsid w:val="00992A59"/>
    <w:rsid w:val="009C3B86"/>
    <w:rsid w:val="00A25FD2"/>
    <w:rsid w:val="00B37660"/>
    <w:rsid w:val="00B62FA1"/>
    <w:rsid w:val="00BA5A5C"/>
    <w:rsid w:val="00C057D3"/>
    <w:rsid w:val="00CD53B5"/>
    <w:rsid w:val="00CE747E"/>
    <w:rsid w:val="00D31E7B"/>
    <w:rsid w:val="00D76978"/>
    <w:rsid w:val="00D83614"/>
    <w:rsid w:val="00DE276B"/>
    <w:rsid w:val="00EB546E"/>
    <w:rsid w:val="00EB6BB0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D3"/>
    <w:pPr>
      <w:spacing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2FA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7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D3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57D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57D3"/>
    <w:rPr>
      <w:rFonts w:ascii="Arial" w:eastAsia="Times New Roman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57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7D3"/>
    <w:rPr>
      <w:rFonts w:ascii="Arial" w:eastAsia="Times New Roman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A6D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2FA1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276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276B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E27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D3"/>
    <w:pPr>
      <w:spacing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2FA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7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D3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57D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57D3"/>
    <w:rPr>
      <w:rFonts w:ascii="Arial" w:eastAsia="Times New Roman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57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7D3"/>
    <w:rPr>
      <w:rFonts w:ascii="Arial" w:eastAsia="Times New Roman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A6D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2FA1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276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276B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E2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931B-4790-4C8B-B6B9-F28C8396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Birchall</dc:creator>
  <cp:lastModifiedBy>Service Birmingham</cp:lastModifiedBy>
  <cp:revision>2</cp:revision>
  <dcterms:created xsi:type="dcterms:W3CDTF">2014-05-12T16:26:00Z</dcterms:created>
  <dcterms:modified xsi:type="dcterms:W3CDTF">2014-05-12T16:26:00Z</dcterms:modified>
</cp:coreProperties>
</file>