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0D1A" w14:textId="77777777" w:rsidR="009C66C6" w:rsidRPr="005A15AC" w:rsidRDefault="009C66C6">
      <w:pPr>
        <w:rPr>
          <w:rFonts w:ascii="Arial" w:hAnsi="Arial" w:cs="Arial"/>
          <w:b/>
          <w:sz w:val="44"/>
          <w:szCs w:val="44"/>
        </w:rPr>
      </w:pPr>
      <w:r w:rsidRPr="005A15AC">
        <w:rPr>
          <w:rFonts w:ascii="Arial" w:hAnsi="Arial" w:cs="Arial"/>
          <w:b/>
          <w:sz w:val="44"/>
          <w:szCs w:val="44"/>
        </w:rPr>
        <w:t>Fees and Charges Consultation 2020/21</w:t>
      </w:r>
      <w:r w:rsidR="005A15AC">
        <w:rPr>
          <w:rFonts w:ascii="Arial" w:hAnsi="Arial" w:cs="Arial"/>
          <w:b/>
          <w:sz w:val="44"/>
          <w:szCs w:val="44"/>
        </w:rPr>
        <w:br/>
      </w:r>
      <w:r w:rsidRPr="005A15AC">
        <w:rPr>
          <w:rFonts w:ascii="Arial" w:hAnsi="Arial" w:cs="Arial"/>
          <w:b/>
          <w:sz w:val="44"/>
          <w:szCs w:val="44"/>
        </w:rPr>
        <w:t>Public Rights of Way</w:t>
      </w:r>
    </w:p>
    <w:p w14:paraId="557679C8" w14:textId="77777777" w:rsidR="001C777D" w:rsidRPr="007129C1" w:rsidRDefault="009C66C6">
      <w:pPr>
        <w:rPr>
          <w:rFonts w:ascii="Arial" w:hAnsi="Arial" w:cs="Arial"/>
        </w:rPr>
      </w:pPr>
      <w:r w:rsidRPr="007129C1">
        <w:rPr>
          <w:rFonts w:ascii="Arial" w:hAnsi="Arial" w:cs="Arial"/>
        </w:rPr>
        <w:t xml:space="preserve">Highways are completing a review of the fees and charges for the Rights of way Section. The review forms part of the annual review of all fees and charges set by the council’s trading services, and it is anticipated that any changes shall be implemented from 1 April 2020. </w:t>
      </w:r>
    </w:p>
    <w:p w14:paraId="3D2AD79B" w14:textId="77777777" w:rsidR="009C66C6" w:rsidRPr="007129C1" w:rsidRDefault="009C66C6" w:rsidP="009C66C6">
      <w:pPr>
        <w:spacing w:before="100" w:beforeAutospacing="1" w:after="100" w:afterAutospacing="1" w:line="240" w:lineRule="auto"/>
        <w:rPr>
          <w:rFonts w:ascii="Arial" w:eastAsia="Times New Roman" w:hAnsi="Arial" w:cs="Arial"/>
          <w:lang w:val="en" w:eastAsia="en-GB"/>
        </w:rPr>
      </w:pPr>
      <w:r w:rsidRPr="007129C1">
        <w:rPr>
          <w:rFonts w:ascii="Arial" w:eastAsia="Times New Roman" w:hAnsi="Arial" w:cs="Arial"/>
          <w:lang w:val="en" w:eastAsia="en-GB"/>
        </w:rPr>
        <w:t xml:space="preserve">The purpose of this consultation is to receive your feedback on the proposed fees and charges proposals, your perceptions on value for money, your satisfaction with the service received, as well as providing an opportunity for any other feedback in relation to the services you receive. All feedback will help us to continually improve the services we provided to you. </w:t>
      </w:r>
    </w:p>
    <w:p w14:paraId="2F9E2901" w14:textId="77777777" w:rsidR="009C66C6" w:rsidRPr="007129C1" w:rsidRDefault="009C66C6">
      <w:pPr>
        <w:rPr>
          <w:rFonts w:ascii="Arial" w:hAnsi="Arial" w:cs="Arial"/>
        </w:rPr>
      </w:pPr>
      <w:r w:rsidRPr="007129C1">
        <w:rPr>
          <w:rFonts w:ascii="Arial" w:hAnsi="Arial" w:cs="Arial"/>
        </w:rPr>
        <w:t>The 2020/21 fees and charges proposals are attached below:</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268"/>
        <w:gridCol w:w="2410"/>
        <w:gridCol w:w="2126"/>
      </w:tblGrid>
      <w:tr w:rsidR="00AF39A9" w:rsidRPr="007129C1" w14:paraId="1E8014EF" w14:textId="77777777" w:rsidTr="00AF39A9">
        <w:trPr>
          <w:trHeight w:val="722"/>
        </w:trPr>
        <w:tc>
          <w:tcPr>
            <w:tcW w:w="3403" w:type="dxa"/>
            <w:tcBorders>
              <w:bottom w:val="single" w:sz="4" w:space="0" w:color="auto"/>
            </w:tcBorders>
            <w:shd w:val="clear" w:color="000000" w:fill="FFFF00"/>
            <w:noWrap/>
            <w:hideMark/>
          </w:tcPr>
          <w:p w14:paraId="6197E114" w14:textId="77777777" w:rsidR="00AF39A9" w:rsidRPr="007129C1" w:rsidRDefault="00AF39A9" w:rsidP="005A15AC">
            <w:pPr>
              <w:tabs>
                <w:tab w:val="left" w:pos="4570"/>
              </w:tabs>
              <w:spacing w:before="60" w:after="60"/>
              <w:rPr>
                <w:rFonts w:ascii="Arial" w:hAnsi="Arial" w:cs="Arial"/>
                <w:b/>
              </w:rPr>
            </w:pPr>
            <w:r w:rsidRPr="007129C1">
              <w:rPr>
                <w:rFonts w:ascii="Arial" w:hAnsi="Arial" w:cs="Arial"/>
                <w:b/>
              </w:rPr>
              <w:t>Service/ Charge</w:t>
            </w:r>
          </w:p>
        </w:tc>
        <w:tc>
          <w:tcPr>
            <w:tcW w:w="2268" w:type="dxa"/>
            <w:tcBorders>
              <w:bottom w:val="single" w:sz="4" w:space="0" w:color="auto"/>
            </w:tcBorders>
            <w:shd w:val="clear" w:color="000000" w:fill="BDD7EE"/>
            <w:vAlign w:val="center"/>
            <w:hideMark/>
          </w:tcPr>
          <w:p w14:paraId="1AA2B4AE" w14:textId="77777777" w:rsidR="00AF39A9" w:rsidRPr="007129C1" w:rsidRDefault="00AF39A9" w:rsidP="005A15AC">
            <w:pPr>
              <w:spacing w:before="60" w:after="60"/>
              <w:rPr>
                <w:rFonts w:ascii="Arial" w:hAnsi="Arial" w:cs="Arial"/>
                <w:b/>
              </w:rPr>
            </w:pPr>
            <w:r w:rsidRPr="007129C1">
              <w:rPr>
                <w:rFonts w:ascii="Arial" w:hAnsi="Arial" w:cs="Arial"/>
                <w:b/>
              </w:rPr>
              <w:t>Previous Charge 2018/19</w:t>
            </w:r>
          </w:p>
        </w:tc>
        <w:tc>
          <w:tcPr>
            <w:tcW w:w="2410" w:type="dxa"/>
            <w:tcBorders>
              <w:bottom w:val="single" w:sz="4" w:space="0" w:color="auto"/>
            </w:tcBorders>
            <w:shd w:val="clear" w:color="000000" w:fill="BDD7EE"/>
            <w:vAlign w:val="center"/>
            <w:hideMark/>
          </w:tcPr>
          <w:p w14:paraId="6EFA26B7" w14:textId="77777777" w:rsidR="00AF39A9" w:rsidRPr="007129C1" w:rsidRDefault="00AF39A9" w:rsidP="005A15AC">
            <w:pPr>
              <w:spacing w:before="60" w:after="60"/>
              <w:rPr>
                <w:rFonts w:ascii="Arial" w:hAnsi="Arial" w:cs="Arial"/>
                <w:b/>
              </w:rPr>
            </w:pPr>
            <w:r w:rsidRPr="007129C1">
              <w:rPr>
                <w:rFonts w:ascii="Arial" w:hAnsi="Arial" w:cs="Arial"/>
                <w:b/>
              </w:rPr>
              <w:t>Proposed Charge 2019/20</w:t>
            </w:r>
          </w:p>
        </w:tc>
        <w:tc>
          <w:tcPr>
            <w:tcW w:w="2126" w:type="dxa"/>
            <w:tcBorders>
              <w:bottom w:val="single" w:sz="4" w:space="0" w:color="auto"/>
            </w:tcBorders>
            <w:shd w:val="clear" w:color="000000" w:fill="FFFF00"/>
            <w:vAlign w:val="center"/>
            <w:hideMark/>
          </w:tcPr>
          <w:p w14:paraId="0DAC1A78" w14:textId="77777777" w:rsidR="00AF39A9" w:rsidRPr="007129C1" w:rsidRDefault="00AF39A9" w:rsidP="005A15AC">
            <w:pPr>
              <w:spacing w:before="60" w:after="60"/>
              <w:rPr>
                <w:rFonts w:ascii="Arial" w:hAnsi="Arial" w:cs="Arial"/>
                <w:b/>
              </w:rPr>
            </w:pPr>
            <w:r w:rsidRPr="007129C1">
              <w:rPr>
                <w:rFonts w:ascii="Arial" w:hAnsi="Arial" w:cs="Arial"/>
                <w:b/>
              </w:rPr>
              <w:t>Proposed charge for 2020/21</w:t>
            </w:r>
          </w:p>
        </w:tc>
      </w:tr>
      <w:tr w:rsidR="00AF39A9" w:rsidRPr="007129C1" w14:paraId="6DC973D3" w14:textId="77777777" w:rsidTr="00AF39A9">
        <w:trPr>
          <w:trHeight w:val="722"/>
        </w:trPr>
        <w:tc>
          <w:tcPr>
            <w:tcW w:w="3403" w:type="dxa"/>
            <w:shd w:val="clear" w:color="auto" w:fill="auto"/>
            <w:noWrap/>
          </w:tcPr>
          <w:p w14:paraId="32AFD62A" w14:textId="77777777" w:rsidR="00AF39A9" w:rsidRPr="007129C1" w:rsidRDefault="00AF39A9" w:rsidP="005A15AC">
            <w:pPr>
              <w:spacing w:before="60" w:after="60"/>
              <w:rPr>
                <w:rFonts w:ascii="Arial" w:hAnsi="Arial" w:cs="Arial"/>
              </w:rPr>
            </w:pPr>
            <w:bookmarkStart w:id="0" w:name="_Hlk32313804"/>
            <w:r w:rsidRPr="007129C1">
              <w:rPr>
                <w:rFonts w:ascii="Arial" w:hAnsi="Arial" w:cs="Arial"/>
              </w:rPr>
              <w:t>Highway Stopping Up Orders s.116</w:t>
            </w:r>
          </w:p>
        </w:tc>
        <w:tc>
          <w:tcPr>
            <w:tcW w:w="2268" w:type="dxa"/>
            <w:shd w:val="clear" w:color="auto" w:fill="auto"/>
          </w:tcPr>
          <w:p w14:paraId="1EB7CBB9" w14:textId="77777777" w:rsidR="00AF39A9" w:rsidRPr="007129C1" w:rsidRDefault="00AF39A9" w:rsidP="005A15AC">
            <w:pPr>
              <w:spacing w:before="60" w:after="60"/>
              <w:rPr>
                <w:rFonts w:ascii="Arial" w:hAnsi="Arial" w:cs="Arial"/>
              </w:rPr>
            </w:pPr>
            <w:r w:rsidRPr="007129C1">
              <w:rPr>
                <w:rFonts w:ascii="Arial" w:hAnsi="Arial" w:cs="Arial"/>
              </w:rPr>
              <w:t>£5,300.00</w:t>
            </w:r>
          </w:p>
        </w:tc>
        <w:tc>
          <w:tcPr>
            <w:tcW w:w="2410" w:type="dxa"/>
            <w:shd w:val="clear" w:color="auto" w:fill="auto"/>
          </w:tcPr>
          <w:p w14:paraId="0C0F301B" w14:textId="77777777" w:rsidR="00AF39A9" w:rsidRPr="007129C1" w:rsidRDefault="00AF39A9" w:rsidP="005A15AC">
            <w:pPr>
              <w:spacing w:before="60" w:after="60"/>
              <w:rPr>
                <w:rFonts w:ascii="Arial" w:hAnsi="Arial" w:cs="Arial"/>
              </w:rPr>
            </w:pPr>
            <w:r w:rsidRPr="007129C1">
              <w:rPr>
                <w:rFonts w:ascii="Arial" w:hAnsi="Arial" w:cs="Arial"/>
              </w:rPr>
              <w:t>£5,565.00</w:t>
            </w:r>
          </w:p>
        </w:tc>
        <w:tc>
          <w:tcPr>
            <w:tcW w:w="2126" w:type="dxa"/>
            <w:shd w:val="clear" w:color="auto" w:fill="auto"/>
          </w:tcPr>
          <w:p w14:paraId="3DB5429E" w14:textId="77777777" w:rsidR="00AF39A9" w:rsidRPr="007129C1" w:rsidRDefault="00AF39A9" w:rsidP="005A15AC">
            <w:pPr>
              <w:spacing w:before="60" w:after="60"/>
              <w:rPr>
                <w:rFonts w:ascii="Arial" w:hAnsi="Arial" w:cs="Arial"/>
              </w:rPr>
            </w:pPr>
            <w:r w:rsidRPr="007129C1">
              <w:rPr>
                <w:rFonts w:ascii="Arial" w:hAnsi="Arial" w:cs="Arial"/>
              </w:rPr>
              <w:t>£5,680.00</w:t>
            </w:r>
          </w:p>
        </w:tc>
      </w:tr>
      <w:bookmarkEnd w:id="0"/>
      <w:tr w:rsidR="00AF39A9" w:rsidRPr="007129C1" w14:paraId="3412EE81" w14:textId="77777777" w:rsidTr="00AF39A9">
        <w:trPr>
          <w:trHeight w:val="722"/>
        </w:trPr>
        <w:tc>
          <w:tcPr>
            <w:tcW w:w="3403" w:type="dxa"/>
            <w:shd w:val="clear" w:color="auto" w:fill="auto"/>
            <w:noWrap/>
          </w:tcPr>
          <w:p w14:paraId="646D49FB" w14:textId="77777777" w:rsidR="00AF39A9" w:rsidRPr="007129C1" w:rsidRDefault="00AF39A9" w:rsidP="005A15AC">
            <w:pPr>
              <w:spacing w:before="60" w:after="60"/>
              <w:rPr>
                <w:rFonts w:ascii="Arial" w:hAnsi="Arial" w:cs="Arial"/>
              </w:rPr>
            </w:pPr>
            <w:r w:rsidRPr="007129C1">
              <w:rPr>
                <w:rFonts w:ascii="Arial" w:hAnsi="Arial" w:cs="Arial"/>
              </w:rPr>
              <w:t>Footpath Stopping Up / Diversion Order</w:t>
            </w:r>
          </w:p>
        </w:tc>
        <w:tc>
          <w:tcPr>
            <w:tcW w:w="2268" w:type="dxa"/>
            <w:shd w:val="clear" w:color="auto" w:fill="auto"/>
          </w:tcPr>
          <w:p w14:paraId="4FBC046A" w14:textId="77777777" w:rsidR="00AF39A9" w:rsidRPr="007129C1" w:rsidRDefault="00AF39A9" w:rsidP="005A15AC">
            <w:pPr>
              <w:spacing w:before="60" w:after="60"/>
              <w:rPr>
                <w:rFonts w:ascii="Arial" w:hAnsi="Arial" w:cs="Arial"/>
              </w:rPr>
            </w:pPr>
            <w:r w:rsidRPr="007129C1">
              <w:rPr>
                <w:rFonts w:ascii="Arial" w:hAnsi="Arial" w:cs="Arial"/>
              </w:rPr>
              <w:t>£5,300.00</w:t>
            </w:r>
          </w:p>
        </w:tc>
        <w:tc>
          <w:tcPr>
            <w:tcW w:w="2410" w:type="dxa"/>
            <w:shd w:val="clear" w:color="auto" w:fill="auto"/>
          </w:tcPr>
          <w:p w14:paraId="7B02355D" w14:textId="77777777" w:rsidR="00AF39A9" w:rsidRPr="007129C1" w:rsidRDefault="00AF39A9" w:rsidP="005A15AC">
            <w:pPr>
              <w:spacing w:before="60" w:after="60"/>
              <w:rPr>
                <w:rFonts w:ascii="Arial" w:hAnsi="Arial" w:cs="Arial"/>
              </w:rPr>
            </w:pPr>
            <w:r w:rsidRPr="007129C1">
              <w:rPr>
                <w:rFonts w:ascii="Arial" w:hAnsi="Arial" w:cs="Arial"/>
              </w:rPr>
              <w:t>£5,565.00</w:t>
            </w:r>
          </w:p>
        </w:tc>
        <w:tc>
          <w:tcPr>
            <w:tcW w:w="2126" w:type="dxa"/>
            <w:shd w:val="clear" w:color="auto" w:fill="auto"/>
          </w:tcPr>
          <w:p w14:paraId="1EC62F57" w14:textId="77777777" w:rsidR="00AF39A9" w:rsidRPr="007129C1" w:rsidRDefault="00AF39A9" w:rsidP="005A15AC">
            <w:pPr>
              <w:spacing w:before="60" w:after="60"/>
              <w:rPr>
                <w:rFonts w:ascii="Arial" w:hAnsi="Arial" w:cs="Arial"/>
              </w:rPr>
            </w:pPr>
            <w:r w:rsidRPr="007129C1">
              <w:rPr>
                <w:rFonts w:ascii="Arial" w:hAnsi="Arial" w:cs="Arial"/>
              </w:rPr>
              <w:t>£5,680.00</w:t>
            </w:r>
          </w:p>
        </w:tc>
      </w:tr>
      <w:tr w:rsidR="00AF39A9" w:rsidRPr="007129C1" w14:paraId="790A2075" w14:textId="77777777" w:rsidTr="00AF39A9">
        <w:trPr>
          <w:trHeight w:val="722"/>
        </w:trPr>
        <w:tc>
          <w:tcPr>
            <w:tcW w:w="3403" w:type="dxa"/>
            <w:shd w:val="clear" w:color="auto" w:fill="auto"/>
            <w:noWrap/>
          </w:tcPr>
          <w:p w14:paraId="555492CB" w14:textId="77777777" w:rsidR="00AF39A9" w:rsidRPr="007129C1" w:rsidRDefault="00AF39A9" w:rsidP="005A15AC">
            <w:pPr>
              <w:spacing w:before="60" w:after="60"/>
              <w:rPr>
                <w:rFonts w:ascii="Arial" w:hAnsi="Arial" w:cs="Arial"/>
              </w:rPr>
            </w:pPr>
            <w:r w:rsidRPr="007129C1">
              <w:rPr>
                <w:rFonts w:ascii="Arial" w:hAnsi="Arial" w:cs="Arial"/>
              </w:rPr>
              <w:t>Public Spaces Protection Orders</w:t>
            </w:r>
          </w:p>
        </w:tc>
        <w:tc>
          <w:tcPr>
            <w:tcW w:w="2268" w:type="dxa"/>
            <w:shd w:val="clear" w:color="auto" w:fill="auto"/>
          </w:tcPr>
          <w:p w14:paraId="28905DF9" w14:textId="77777777" w:rsidR="00AF39A9" w:rsidRPr="007129C1" w:rsidRDefault="00AF39A9" w:rsidP="005A15AC">
            <w:pPr>
              <w:spacing w:before="60" w:after="60"/>
              <w:rPr>
                <w:rFonts w:ascii="Arial" w:hAnsi="Arial" w:cs="Arial"/>
              </w:rPr>
            </w:pPr>
            <w:r w:rsidRPr="007129C1">
              <w:rPr>
                <w:rFonts w:ascii="Arial" w:hAnsi="Arial" w:cs="Arial"/>
              </w:rPr>
              <w:t>£7,020.00</w:t>
            </w:r>
            <w:bookmarkStart w:id="1" w:name="_GoBack"/>
            <w:bookmarkEnd w:id="1"/>
          </w:p>
        </w:tc>
        <w:tc>
          <w:tcPr>
            <w:tcW w:w="2410" w:type="dxa"/>
            <w:shd w:val="clear" w:color="auto" w:fill="auto"/>
          </w:tcPr>
          <w:p w14:paraId="4571E655" w14:textId="77777777" w:rsidR="00AF39A9" w:rsidRPr="007129C1" w:rsidRDefault="00AF39A9" w:rsidP="005A15AC">
            <w:pPr>
              <w:spacing w:before="60" w:after="60"/>
              <w:rPr>
                <w:rFonts w:ascii="Arial" w:hAnsi="Arial" w:cs="Arial"/>
              </w:rPr>
            </w:pPr>
            <w:r w:rsidRPr="007129C1">
              <w:rPr>
                <w:rFonts w:ascii="Arial" w:hAnsi="Arial" w:cs="Arial"/>
              </w:rPr>
              <w:t>£7,371.00</w:t>
            </w:r>
          </w:p>
        </w:tc>
        <w:tc>
          <w:tcPr>
            <w:tcW w:w="2126" w:type="dxa"/>
            <w:shd w:val="clear" w:color="auto" w:fill="auto"/>
          </w:tcPr>
          <w:p w14:paraId="3D9E32A8" w14:textId="77777777" w:rsidR="00AF39A9" w:rsidRPr="007129C1" w:rsidRDefault="00AF39A9" w:rsidP="005A15AC">
            <w:pPr>
              <w:spacing w:before="60" w:after="60"/>
              <w:rPr>
                <w:rFonts w:ascii="Arial" w:hAnsi="Arial" w:cs="Arial"/>
              </w:rPr>
            </w:pPr>
            <w:r w:rsidRPr="007129C1">
              <w:rPr>
                <w:rFonts w:ascii="Arial" w:hAnsi="Arial" w:cs="Arial"/>
              </w:rPr>
              <w:t>£7,520.00</w:t>
            </w:r>
          </w:p>
        </w:tc>
      </w:tr>
      <w:tr w:rsidR="00AF39A9" w:rsidRPr="007129C1" w14:paraId="52120B25" w14:textId="77777777" w:rsidTr="00AF39A9">
        <w:trPr>
          <w:trHeight w:val="722"/>
        </w:trPr>
        <w:tc>
          <w:tcPr>
            <w:tcW w:w="3403" w:type="dxa"/>
            <w:shd w:val="clear" w:color="auto" w:fill="auto"/>
            <w:noWrap/>
          </w:tcPr>
          <w:p w14:paraId="148C2902" w14:textId="77777777" w:rsidR="00AF39A9" w:rsidRPr="007129C1" w:rsidRDefault="00AF39A9" w:rsidP="005A15AC">
            <w:pPr>
              <w:spacing w:before="60" w:after="60"/>
              <w:rPr>
                <w:rFonts w:ascii="Arial" w:hAnsi="Arial" w:cs="Arial"/>
              </w:rPr>
            </w:pPr>
            <w:r w:rsidRPr="007129C1">
              <w:rPr>
                <w:rFonts w:ascii="Arial" w:hAnsi="Arial" w:cs="Arial"/>
              </w:rPr>
              <w:t>Definitive Map - Legal Event as a result of change to public rights of way</w:t>
            </w:r>
          </w:p>
        </w:tc>
        <w:tc>
          <w:tcPr>
            <w:tcW w:w="2268" w:type="dxa"/>
            <w:shd w:val="clear" w:color="auto" w:fill="auto"/>
          </w:tcPr>
          <w:p w14:paraId="600DF8FB" w14:textId="77777777" w:rsidR="00AF39A9" w:rsidRPr="007129C1" w:rsidRDefault="00AF39A9" w:rsidP="005A15AC">
            <w:pPr>
              <w:spacing w:before="60" w:after="60"/>
              <w:rPr>
                <w:rFonts w:ascii="Arial" w:hAnsi="Arial" w:cs="Arial"/>
              </w:rPr>
            </w:pPr>
            <w:r w:rsidRPr="007129C1">
              <w:rPr>
                <w:rFonts w:ascii="Arial" w:hAnsi="Arial" w:cs="Arial"/>
              </w:rPr>
              <w:t>£845.00</w:t>
            </w:r>
          </w:p>
        </w:tc>
        <w:tc>
          <w:tcPr>
            <w:tcW w:w="2410" w:type="dxa"/>
            <w:shd w:val="clear" w:color="auto" w:fill="auto"/>
          </w:tcPr>
          <w:p w14:paraId="1315AB6C" w14:textId="77777777" w:rsidR="00AF39A9" w:rsidRPr="007129C1" w:rsidRDefault="00AF39A9" w:rsidP="005A15AC">
            <w:pPr>
              <w:spacing w:before="60" w:after="60"/>
              <w:rPr>
                <w:rFonts w:ascii="Arial" w:hAnsi="Arial" w:cs="Arial"/>
              </w:rPr>
            </w:pPr>
            <w:r w:rsidRPr="007129C1">
              <w:rPr>
                <w:rFonts w:ascii="Arial" w:hAnsi="Arial" w:cs="Arial"/>
              </w:rPr>
              <w:t>£887.00</w:t>
            </w:r>
          </w:p>
        </w:tc>
        <w:tc>
          <w:tcPr>
            <w:tcW w:w="2126" w:type="dxa"/>
            <w:shd w:val="clear" w:color="auto" w:fill="auto"/>
          </w:tcPr>
          <w:p w14:paraId="415E19D6" w14:textId="77777777" w:rsidR="00AF39A9" w:rsidRPr="007129C1" w:rsidRDefault="00AF39A9" w:rsidP="005A15AC">
            <w:pPr>
              <w:spacing w:before="60" w:after="60"/>
              <w:rPr>
                <w:rFonts w:ascii="Arial" w:hAnsi="Arial" w:cs="Arial"/>
              </w:rPr>
            </w:pPr>
            <w:r w:rsidRPr="007129C1">
              <w:rPr>
                <w:rFonts w:ascii="Arial" w:hAnsi="Arial" w:cs="Arial"/>
              </w:rPr>
              <w:t>£932.00</w:t>
            </w:r>
          </w:p>
        </w:tc>
      </w:tr>
      <w:tr w:rsidR="008E08C1" w:rsidRPr="007129C1" w14:paraId="2B0CC4C1" w14:textId="77777777" w:rsidTr="00AF39A9">
        <w:trPr>
          <w:trHeight w:val="722"/>
        </w:trPr>
        <w:tc>
          <w:tcPr>
            <w:tcW w:w="3403" w:type="dxa"/>
            <w:shd w:val="clear" w:color="auto" w:fill="auto"/>
            <w:noWrap/>
          </w:tcPr>
          <w:p w14:paraId="19427392" w14:textId="77777777" w:rsidR="008E08C1" w:rsidRPr="007129C1" w:rsidRDefault="008E08C1" w:rsidP="005A15AC">
            <w:pPr>
              <w:spacing w:before="60" w:after="60"/>
              <w:rPr>
                <w:rFonts w:ascii="Arial" w:hAnsi="Arial" w:cs="Arial"/>
              </w:rPr>
            </w:pPr>
            <w:r w:rsidRPr="007129C1">
              <w:rPr>
                <w:rFonts w:ascii="Arial" w:hAnsi="Arial" w:cs="Arial"/>
              </w:rPr>
              <w:t>S31(6) Deposits only (up to 5 hectares)</w:t>
            </w:r>
          </w:p>
        </w:tc>
        <w:tc>
          <w:tcPr>
            <w:tcW w:w="2268" w:type="dxa"/>
            <w:shd w:val="clear" w:color="auto" w:fill="auto"/>
          </w:tcPr>
          <w:p w14:paraId="25585573" w14:textId="77777777" w:rsidR="008E08C1" w:rsidRPr="007129C1" w:rsidRDefault="008E08C1" w:rsidP="005A15AC">
            <w:pPr>
              <w:spacing w:before="60" w:after="60"/>
              <w:rPr>
                <w:rFonts w:ascii="Arial" w:hAnsi="Arial" w:cs="Arial"/>
              </w:rPr>
            </w:pPr>
            <w:r w:rsidRPr="007129C1">
              <w:rPr>
                <w:rFonts w:ascii="Arial" w:hAnsi="Arial" w:cs="Arial"/>
              </w:rPr>
              <w:t>£525.00</w:t>
            </w:r>
          </w:p>
        </w:tc>
        <w:tc>
          <w:tcPr>
            <w:tcW w:w="2410" w:type="dxa"/>
            <w:shd w:val="clear" w:color="auto" w:fill="auto"/>
          </w:tcPr>
          <w:p w14:paraId="48D2D31A" w14:textId="77777777" w:rsidR="008E08C1" w:rsidRPr="007129C1" w:rsidRDefault="008E08C1" w:rsidP="005A15AC">
            <w:pPr>
              <w:spacing w:before="60" w:after="60"/>
              <w:rPr>
                <w:rFonts w:ascii="Arial" w:hAnsi="Arial" w:cs="Arial"/>
              </w:rPr>
            </w:pPr>
            <w:r w:rsidRPr="007129C1">
              <w:rPr>
                <w:rFonts w:ascii="Arial" w:hAnsi="Arial" w:cs="Arial"/>
              </w:rPr>
              <w:t>£551.00</w:t>
            </w:r>
          </w:p>
        </w:tc>
        <w:tc>
          <w:tcPr>
            <w:tcW w:w="2126" w:type="dxa"/>
            <w:shd w:val="clear" w:color="auto" w:fill="auto"/>
          </w:tcPr>
          <w:p w14:paraId="5AF95A5F" w14:textId="77777777" w:rsidR="008E08C1" w:rsidRPr="007129C1" w:rsidRDefault="008E08C1" w:rsidP="005A15AC">
            <w:pPr>
              <w:spacing w:before="60" w:after="60"/>
              <w:rPr>
                <w:rFonts w:ascii="Arial" w:hAnsi="Arial" w:cs="Arial"/>
              </w:rPr>
            </w:pPr>
            <w:r w:rsidRPr="007129C1">
              <w:rPr>
                <w:rFonts w:ascii="Arial" w:hAnsi="Arial" w:cs="Arial"/>
              </w:rPr>
              <w:t>£579.00</w:t>
            </w:r>
          </w:p>
        </w:tc>
      </w:tr>
      <w:tr w:rsidR="008E08C1" w:rsidRPr="007129C1" w14:paraId="0F52FCD2" w14:textId="77777777" w:rsidTr="00AF39A9">
        <w:trPr>
          <w:trHeight w:val="722"/>
        </w:trPr>
        <w:tc>
          <w:tcPr>
            <w:tcW w:w="3403" w:type="dxa"/>
            <w:shd w:val="clear" w:color="auto" w:fill="auto"/>
            <w:noWrap/>
          </w:tcPr>
          <w:p w14:paraId="23E4FC94" w14:textId="77777777" w:rsidR="008E08C1" w:rsidRPr="007129C1" w:rsidRDefault="008E08C1" w:rsidP="005A15AC">
            <w:pPr>
              <w:spacing w:before="60" w:after="60"/>
              <w:rPr>
                <w:rFonts w:ascii="Arial" w:hAnsi="Arial" w:cs="Arial"/>
              </w:rPr>
            </w:pPr>
            <w:r w:rsidRPr="007129C1">
              <w:rPr>
                <w:rFonts w:ascii="Arial" w:hAnsi="Arial" w:cs="Arial"/>
              </w:rPr>
              <w:t>S31(6) Deposits only (each hectare above 5 hectares)</w:t>
            </w:r>
          </w:p>
        </w:tc>
        <w:tc>
          <w:tcPr>
            <w:tcW w:w="2268" w:type="dxa"/>
            <w:shd w:val="clear" w:color="auto" w:fill="auto"/>
          </w:tcPr>
          <w:p w14:paraId="22BA72CA" w14:textId="77777777" w:rsidR="008E08C1" w:rsidRPr="007129C1" w:rsidRDefault="008E08C1" w:rsidP="005A15AC">
            <w:pPr>
              <w:spacing w:before="60" w:after="60"/>
              <w:rPr>
                <w:rFonts w:ascii="Arial" w:hAnsi="Arial" w:cs="Arial"/>
              </w:rPr>
            </w:pPr>
          </w:p>
        </w:tc>
        <w:tc>
          <w:tcPr>
            <w:tcW w:w="2410" w:type="dxa"/>
            <w:shd w:val="clear" w:color="auto" w:fill="auto"/>
          </w:tcPr>
          <w:p w14:paraId="65D26BA0" w14:textId="77777777" w:rsidR="008E08C1" w:rsidRPr="007129C1" w:rsidRDefault="008E08C1" w:rsidP="005A15AC">
            <w:pPr>
              <w:spacing w:before="60" w:after="60"/>
              <w:rPr>
                <w:rFonts w:ascii="Arial" w:hAnsi="Arial" w:cs="Arial"/>
              </w:rPr>
            </w:pPr>
          </w:p>
        </w:tc>
        <w:tc>
          <w:tcPr>
            <w:tcW w:w="2126" w:type="dxa"/>
            <w:shd w:val="clear" w:color="auto" w:fill="auto"/>
          </w:tcPr>
          <w:p w14:paraId="5477B476" w14:textId="77777777" w:rsidR="008E08C1" w:rsidRPr="007129C1" w:rsidRDefault="008E08C1" w:rsidP="005A15AC">
            <w:pPr>
              <w:spacing w:before="60" w:after="60"/>
              <w:rPr>
                <w:rFonts w:ascii="Arial" w:hAnsi="Arial" w:cs="Arial"/>
              </w:rPr>
            </w:pPr>
            <w:r w:rsidRPr="007129C1">
              <w:rPr>
                <w:rFonts w:ascii="Arial" w:hAnsi="Arial" w:cs="Arial"/>
              </w:rPr>
              <w:t>£40.00</w:t>
            </w:r>
          </w:p>
        </w:tc>
      </w:tr>
      <w:tr w:rsidR="008E08C1" w:rsidRPr="007129C1" w14:paraId="18DE3575" w14:textId="77777777" w:rsidTr="00AF39A9">
        <w:trPr>
          <w:trHeight w:val="722"/>
        </w:trPr>
        <w:tc>
          <w:tcPr>
            <w:tcW w:w="3403" w:type="dxa"/>
            <w:shd w:val="clear" w:color="auto" w:fill="auto"/>
            <w:noWrap/>
          </w:tcPr>
          <w:p w14:paraId="7DB9B19E" w14:textId="77777777" w:rsidR="008E08C1" w:rsidRPr="007129C1" w:rsidRDefault="008E08C1" w:rsidP="005A15AC">
            <w:pPr>
              <w:spacing w:before="60" w:after="60"/>
              <w:rPr>
                <w:rFonts w:ascii="Arial" w:hAnsi="Arial" w:cs="Arial"/>
              </w:rPr>
            </w:pPr>
            <w:r w:rsidRPr="007129C1">
              <w:rPr>
                <w:rFonts w:ascii="Arial" w:hAnsi="Arial" w:cs="Arial"/>
              </w:rPr>
              <w:t>Village Green Deposits only (up to 5 hectares)</w:t>
            </w:r>
          </w:p>
        </w:tc>
        <w:tc>
          <w:tcPr>
            <w:tcW w:w="2268" w:type="dxa"/>
            <w:shd w:val="clear" w:color="auto" w:fill="auto"/>
          </w:tcPr>
          <w:p w14:paraId="57DFF67B" w14:textId="77777777" w:rsidR="008E08C1" w:rsidRPr="007129C1" w:rsidRDefault="008E08C1" w:rsidP="005A15AC">
            <w:pPr>
              <w:spacing w:before="60" w:after="60"/>
              <w:rPr>
                <w:rFonts w:ascii="Arial" w:hAnsi="Arial" w:cs="Arial"/>
              </w:rPr>
            </w:pPr>
            <w:r w:rsidRPr="007129C1">
              <w:rPr>
                <w:rFonts w:ascii="Arial" w:hAnsi="Arial" w:cs="Arial"/>
              </w:rPr>
              <w:t>£475.00</w:t>
            </w:r>
          </w:p>
        </w:tc>
        <w:tc>
          <w:tcPr>
            <w:tcW w:w="2410" w:type="dxa"/>
            <w:shd w:val="clear" w:color="auto" w:fill="auto"/>
          </w:tcPr>
          <w:p w14:paraId="45FF9EBB" w14:textId="77777777" w:rsidR="008E08C1" w:rsidRPr="007129C1" w:rsidRDefault="008E08C1" w:rsidP="005A15AC">
            <w:pPr>
              <w:spacing w:before="60" w:after="60"/>
              <w:rPr>
                <w:rFonts w:ascii="Arial" w:hAnsi="Arial" w:cs="Arial"/>
              </w:rPr>
            </w:pPr>
            <w:r w:rsidRPr="007129C1">
              <w:rPr>
                <w:rFonts w:ascii="Arial" w:hAnsi="Arial" w:cs="Arial"/>
              </w:rPr>
              <w:t>£500.00</w:t>
            </w:r>
          </w:p>
        </w:tc>
        <w:tc>
          <w:tcPr>
            <w:tcW w:w="2126" w:type="dxa"/>
            <w:shd w:val="clear" w:color="auto" w:fill="auto"/>
          </w:tcPr>
          <w:p w14:paraId="7A7941CC" w14:textId="77777777" w:rsidR="008E08C1" w:rsidRPr="007129C1" w:rsidRDefault="008E08C1" w:rsidP="005A15AC">
            <w:pPr>
              <w:spacing w:before="60" w:after="60"/>
              <w:rPr>
                <w:rFonts w:ascii="Arial" w:hAnsi="Arial" w:cs="Arial"/>
              </w:rPr>
            </w:pPr>
            <w:r w:rsidRPr="007129C1">
              <w:rPr>
                <w:rFonts w:ascii="Arial" w:hAnsi="Arial" w:cs="Arial"/>
              </w:rPr>
              <w:t>£525.00</w:t>
            </w:r>
          </w:p>
        </w:tc>
      </w:tr>
      <w:tr w:rsidR="008E08C1" w:rsidRPr="007129C1" w14:paraId="3D8EC7C4" w14:textId="77777777" w:rsidTr="00AF39A9">
        <w:trPr>
          <w:trHeight w:val="722"/>
        </w:trPr>
        <w:tc>
          <w:tcPr>
            <w:tcW w:w="3403" w:type="dxa"/>
            <w:shd w:val="clear" w:color="auto" w:fill="auto"/>
            <w:noWrap/>
          </w:tcPr>
          <w:p w14:paraId="1FB59735" w14:textId="77777777" w:rsidR="008E08C1" w:rsidRPr="007129C1" w:rsidRDefault="008E08C1" w:rsidP="005A15AC">
            <w:pPr>
              <w:spacing w:before="60" w:after="60"/>
              <w:rPr>
                <w:rFonts w:ascii="Arial" w:hAnsi="Arial" w:cs="Arial"/>
              </w:rPr>
            </w:pPr>
            <w:r w:rsidRPr="007129C1">
              <w:rPr>
                <w:rFonts w:ascii="Arial" w:hAnsi="Arial" w:cs="Arial"/>
              </w:rPr>
              <w:t>Village Green Deposits only (each hectare above 5 hectares)</w:t>
            </w:r>
          </w:p>
        </w:tc>
        <w:tc>
          <w:tcPr>
            <w:tcW w:w="2268" w:type="dxa"/>
            <w:shd w:val="clear" w:color="auto" w:fill="auto"/>
          </w:tcPr>
          <w:p w14:paraId="14768D98" w14:textId="77777777" w:rsidR="008E08C1" w:rsidRPr="007129C1" w:rsidRDefault="008E08C1" w:rsidP="005A15AC">
            <w:pPr>
              <w:spacing w:before="60" w:after="60"/>
              <w:rPr>
                <w:rFonts w:ascii="Arial" w:hAnsi="Arial" w:cs="Arial"/>
              </w:rPr>
            </w:pPr>
          </w:p>
        </w:tc>
        <w:tc>
          <w:tcPr>
            <w:tcW w:w="2410" w:type="dxa"/>
            <w:shd w:val="clear" w:color="auto" w:fill="auto"/>
          </w:tcPr>
          <w:p w14:paraId="2322C2AF" w14:textId="77777777" w:rsidR="008E08C1" w:rsidRPr="007129C1" w:rsidRDefault="008E08C1" w:rsidP="005A15AC">
            <w:pPr>
              <w:spacing w:before="60" w:after="60"/>
              <w:rPr>
                <w:rFonts w:ascii="Arial" w:hAnsi="Arial" w:cs="Arial"/>
              </w:rPr>
            </w:pPr>
          </w:p>
        </w:tc>
        <w:tc>
          <w:tcPr>
            <w:tcW w:w="2126" w:type="dxa"/>
            <w:shd w:val="clear" w:color="auto" w:fill="auto"/>
          </w:tcPr>
          <w:p w14:paraId="07936B79" w14:textId="77777777" w:rsidR="008E08C1" w:rsidRPr="007129C1" w:rsidRDefault="008E08C1" w:rsidP="005A15AC">
            <w:pPr>
              <w:spacing w:before="60" w:after="60"/>
              <w:rPr>
                <w:rFonts w:ascii="Arial" w:hAnsi="Arial" w:cs="Arial"/>
              </w:rPr>
            </w:pPr>
            <w:r w:rsidRPr="007129C1">
              <w:rPr>
                <w:rFonts w:ascii="Arial" w:hAnsi="Arial" w:cs="Arial"/>
              </w:rPr>
              <w:t>£40.00</w:t>
            </w:r>
          </w:p>
        </w:tc>
      </w:tr>
      <w:tr w:rsidR="008E08C1" w:rsidRPr="007129C1" w14:paraId="7081B15E" w14:textId="77777777" w:rsidTr="00AF39A9">
        <w:trPr>
          <w:trHeight w:val="722"/>
        </w:trPr>
        <w:tc>
          <w:tcPr>
            <w:tcW w:w="3403" w:type="dxa"/>
            <w:shd w:val="clear" w:color="auto" w:fill="auto"/>
            <w:noWrap/>
          </w:tcPr>
          <w:p w14:paraId="299276A2" w14:textId="77777777" w:rsidR="008E08C1" w:rsidRPr="007129C1" w:rsidRDefault="008E08C1" w:rsidP="005A15AC">
            <w:pPr>
              <w:spacing w:before="60" w:after="60"/>
              <w:rPr>
                <w:rFonts w:ascii="Arial" w:hAnsi="Arial" w:cs="Arial"/>
              </w:rPr>
            </w:pPr>
            <w:r w:rsidRPr="007129C1">
              <w:rPr>
                <w:rFonts w:ascii="Arial" w:hAnsi="Arial" w:cs="Arial"/>
              </w:rPr>
              <w:t>Combined S31(6) and Village Green Deposits (up to 5 hectares)</w:t>
            </w:r>
          </w:p>
        </w:tc>
        <w:tc>
          <w:tcPr>
            <w:tcW w:w="2268" w:type="dxa"/>
            <w:shd w:val="clear" w:color="auto" w:fill="auto"/>
          </w:tcPr>
          <w:p w14:paraId="72DDE2D1" w14:textId="77777777" w:rsidR="008E08C1" w:rsidRPr="007129C1" w:rsidRDefault="008E08C1" w:rsidP="005A15AC">
            <w:pPr>
              <w:spacing w:before="60" w:after="60"/>
              <w:rPr>
                <w:rFonts w:ascii="Arial" w:hAnsi="Arial" w:cs="Arial"/>
              </w:rPr>
            </w:pPr>
            <w:r w:rsidRPr="007129C1">
              <w:rPr>
                <w:rFonts w:ascii="Arial" w:hAnsi="Arial" w:cs="Arial"/>
              </w:rPr>
              <w:t>£715.00</w:t>
            </w:r>
          </w:p>
        </w:tc>
        <w:tc>
          <w:tcPr>
            <w:tcW w:w="2410" w:type="dxa"/>
            <w:shd w:val="clear" w:color="auto" w:fill="auto"/>
          </w:tcPr>
          <w:p w14:paraId="45534E15" w14:textId="77777777" w:rsidR="008E08C1" w:rsidRPr="007129C1" w:rsidRDefault="008E08C1" w:rsidP="005A15AC">
            <w:pPr>
              <w:spacing w:before="60" w:after="60"/>
              <w:rPr>
                <w:rFonts w:ascii="Arial" w:hAnsi="Arial" w:cs="Arial"/>
              </w:rPr>
            </w:pPr>
            <w:r w:rsidRPr="007129C1">
              <w:rPr>
                <w:rFonts w:ascii="Arial" w:hAnsi="Arial" w:cs="Arial"/>
              </w:rPr>
              <w:t>£750.00</w:t>
            </w:r>
          </w:p>
        </w:tc>
        <w:tc>
          <w:tcPr>
            <w:tcW w:w="2126" w:type="dxa"/>
            <w:shd w:val="clear" w:color="auto" w:fill="auto"/>
          </w:tcPr>
          <w:p w14:paraId="27E753AC" w14:textId="77777777" w:rsidR="008E08C1" w:rsidRPr="007129C1" w:rsidRDefault="008E08C1" w:rsidP="005A15AC">
            <w:pPr>
              <w:spacing w:before="60" w:after="60"/>
              <w:rPr>
                <w:rFonts w:ascii="Arial" w:hAnsi="Arial" w:cs="Arial"/>
              </w:rPr>
            </w:pPr>
            <w:r w:rsidRPr="007129C1">
              <w:rPr>
                <w:rFonts w:ascii="Arial" w:hAnsi="Arial" w:cs="Arial"/>
              </w:rPr>
              <w:t>£788.00</w:t>
            </w:r>
          </w:p>
        </w:tc>
      </w:tr>
      <w:tr w:rsidR="008E08C1" w:rsidRPr="007129C1" w14:paraId="078E2D77" w14:textId="77777777" w:rsidTr="005A15AC">
        <w:trPr>
          <w:trHeight w:val="132"/>
        </w:trPr>
        <w:tc>
          <w:tcPr>
            <w:tcW w:w="3403" w:type="dxa"/>
            <w:shd w:val="clear" w:color="auto" w:fill="auto"/>
            <w:noWrap/>
          </w:tcPr>
          <w:p w14:paraId="3A7E52B8" w14:textId="77777777" w:rsidR="008E08C1" w:rsidRPr="007129C1" w:rsidRDefault="008E08C1" w:rsidP="005A15AC">
            <w:pPr>
              <w:spacing w:before="60" w:after="60"/>
              <w:rPr>
                <w:rFonts w:ascii="Arial" w:hAnsi="Arial" w:cs="Arial"/>
              </w:rPr>
            </w:pPr>
            <w:r w:rsidRPr="007129C1">
              <w:rPr>
                <w:rFonts w:ascii="Arial" w:hAnsi="Arial" w:cs="Arial"/>
              </w:rPr>
              <w:t>Combined S31(6) and Village Green (each hectare above 5 hectares)</w:t>
            </w:r>
          </w:p>
        </w:tc>
        <w:tc>
          <w:tcPr>
            <w:tcW w:w="2268" w:type="dxa"/>
            <w:shd w:val="clear" w:color="auto" w:fill="auto"/>
          </w:tcPr>
          <w:p w14:paraId="1B382228" w14:textId="77777777" w:rsidR="008E08C1" w:rsidRPr="007129C1" w:rsidRDefault="008E08C1" w:rsidP="005A15AC">
            <w:pPr>
              <w:spacing w:before="60" w:after="60"/>
              <w:rPr>
                <w:rFonts w:ascii="Arial" w:hAnsi="Arial" w:cs="Arial"/>
              </w:rPr>
            </w:pPr>
          </w:p>
        </w:tc>
        <w:tc>
          <w:tcPr>
            <w:tcW w:w="2410" w:type="dxa"/>
            <w:shd w:val="clear" w:color="auto" w:fill="auto"/>
          </w:tcPr>
          <w:p w14:paraId="53830CAE" w14:textId="77777777" w:rsidR="008E08C1" w:rsidRPr="007129C1" w:rsidRDefault="008E08C1" w:rsidP="005A15AC">
            <w:pPr>
              <w:spacing w:before="60" w:after="60"/>
              <w:rPr>
                <w:rFonts w:ascii="Arial" w:hAnsi="Arial" w:cs="Arial"/>
              </w:rPr>
            </w:pPr>
          </w:p>
        </w:tc>
        <w:tc>
          <w:tcPr>
            <w:tcW w:w="2126" w:type="dxa"/>
            <w:shd w:val="clear" w:color="auto" w:fill="auto"/>
          </w:tcPr>
          <w:p w14:paraId="658A593C" w14:textId="77777777" w:rsidR="008E08C1" w:rsidRPr="007129C1" w:rsidRDefault="008E08C1" w:rsidP="005A15AC">
            <w:pPr>
              <w:spacing w:before="60" w:after="60"/>
              <w:rPr>
                <w:rFonts w:ascii="Arial" w:hAnsi="Arial" w:cs="Arial"/>
              </w:rPr>
            </w:pPr>
            <w:r w:rsidRPr="007129C1">
              <w:rPr>
                <w:rFonts w:ascii="Arial" w:hAnsi="Arial" w:cs="Arial"/>
              </w:rPr>
              <w:t>£40.00</w:t>
            </w:r>
          </w:p>
        </w:tc>
      </w:tr>
    </w:tbl>
    <w:p w14:paraId="7472D976" w14:textId="77777777" w:rsidR="0098402C" w:rsidRPr="007129C1" w:rsidRDefault="0098402C" w:rsidP="00854E69">
      <w:pPr>
        <w:rPr>
          <w:rFonts w:ascii="Arial" w:hAnsi="Arial" w:cs="Arial"/>
        </w:rPr>
      </w:pPr>
    </w:p>
    <w:sectPr w:rsidR="0098402C" w:rsidRPr="007129C1" w:rsidSect="005A15A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C6"/>
    <w:rsid w:val="000C10AA"/>
    <w:rsid w:val="001C777D"/>
    <w:rsid w:val="001D54E2"/>
    <w:rsid w:val="005A15AC"/>
    <w:rsid w:val="007129C1"/>
    <w:rsid w:val="00854E69"/>
    <w:rsid w:val="008E08C1"/>
    <w:rsid w:val="0098402C"/>
    <w:rsid w:val="009C66C6"/>
    <w:rsid w:val="00AF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B68DC2"/>
  <w15:chartTrackingRefBased/>
  <w15:docId w15:val="{EDC96D37-7253-41AB-95BB-03A72C23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2" ma:contentTypeDescription="Create a new document." ma:contentTypeScope="" ma:versionID="894dd696b7c14f936543506b71e80b4a">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2fafa49057286768944c4433fb70324d"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26EF9-B9FF-47ED-A56C-2D740385C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7E61-09B2-4179-B440-E3FD75538651}">
  <ds:schemaRefs>
    <ds:schemaRef ds:uri="http://schemas.microsoft.com/sharepoint/v3/contenttype/forms"/>
  </ds:schemaRefs>
</ds:datastoreItem>
</file>

<file path=customXml/itemProps3.xml><?xml version="1.0" encoding="utf-8"?>
<ds:datastoreItem xmlns:ds="http://schemas.openxmlformats.org/officeDocument/2006/customXml" ds:itemID="{BA24F872-F02B-44EC-8EDD-74A4F880DC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4b952a-cdab-49d8-a572-68fa4f4b8e9d"/>
    <ds:schemaRef ds:uri="http://purl.org/dc/terms/"/>
    <ds:schemaRef ds:uri="cf4fbdc1-3486-4097-bd2f-409effe1755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Mahroof Malik</dc:creator>
  <cp:keywords/>
  <cp:lastModifiedBy>Rebecca Hawthorne</cp:lastModifiedBy>
  <cp:revision>3</cp:revision>
  <dcterms:created xsi:type="dcterms:W3CDTF">2020-02-11T11:51:00Z</dcterms:created>
  <dcterms:modified xsi:type="dcterms:W3CDTF">2020-02-11T11:52:00Z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