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10ED" w14:textId="77777777" w:rsidR="00682C4E" w:rsidRPr="00682C4E" w:rsidRDefault="00682C4E" w:rsidP="00682C4E">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682C4E">
        <w:rPr>
          <w:rFonts w:ascii="Times New Roman" w:eastAsia="Times New Roman" w:hAnsi="Times New Roman" w:cs="Times New Roman"/>
          <w:b/>
          <w:bCs/>
          <w:kern w:val="36"/>
          <w:sz w:val="48"/>
          <w:szCs w:val="48"/>
          <w:lang w:val="en" w:eastAsia="en-GB"/>
        </w:rPr>
        <w:t xml:space="preserve">Fees and Charges Consultation 2020/21 </w:t>
      </w:r>
      <w:r>
        <w:rPr>
          <w:rFonts w:ascii="Times New Roman" w:eastAsia="Times New Roman" w:hAnsi="Times New Roman" w:cs="Times New Roman"/>
          <w:b/>
          <w:bCs/>
          <w:kern w:val="36"/>
          <w:sz w:val="48"/>
          <w:szCs w:val="48"/>
          <w:lang w:val="en" w:eastAsia="en-GB"/>
        </w:rPr>
        <w:t>–</w:t>
      </w:r>
      <w:r w:rsidRPr="00682C4E">
        <w:rPr>
          <w:rFonts w:ascii="Times New Roman" w:eastAsia="Times New Roman" w:hAnsi="Times New Roman" w:cs="Times New Roman"/>
          <w:b/>
          <w:bCs/>
          <w:kern w:val="36"/>
          <w:sz w:val="48"/>
          <w:szCs w:val="48"/>
          <w:lang w:val="en" w:eastAsia="en-GB"/>
        </w:rPr>
        <w:t xml:space="preserve"> </w:t>
      </w:r>
      <w:r w:rsidR="00797748">
        <w:rPr>
          <w:rFonts w:ascii="Times New Roman" w:eastAsia="Times New Roman" w:hAnsi="Times New Roman" w:cs="Times New Roman"/>
          <w:b/>
          <w:bCs/>
          <w:kern w:val="36"/>
          <w:sz w:val="48"/>
          <w:szCs w:val="48"/>
          <w:lang w:val="en" w:eastAsia="en-GB"/>
        </w:rPr>
        <w:t>Street Naming &amp; Numbering</w:t>
      </w:r>
      <w:r w:rsidRPr="00682C4E">
        <w:rPr>
          <w:rFonts w:ascii="Times New Roman" w:eastAsia="Times New Roman" w:hAnsi="Times New Roman" w:cs="Times New Roman"/>
          <w:b/>
          <w:bCs/>
          <w:kern w:val="36"/>
          <w:sz w:val="48"/>
          <w:szCs w:val="48"/>
          <w:lang w:val="en" w:eastAsia="en-GB"/>
        </w:rPr>
        <w:t xml:space="preserve"> </w:t>
      </w:r>
    </w:p>
    <w:p w14:paraId="60FC1116" w14:textId="77777777" w:rsidR="00682C4E" w:rsidRPr="00682C4E" w:rsidRDefault="00682C4E" w:rsidP="00682C4E">
      <w:pPr>
        <w:spacing w:before="100" w:beforeAutospacing="1" w:after="98" w:line="240" w:lineRule="auto"/>
        <w:rPr>
          <w:rFonts w:ascii="Times New Roman" w:eastAsia="Times New Roman" w:hAnsi="Times New Roman" w:cs="Times New Roman"/>
          <w:b/>
          <w:bCs/>
          <w:sz w:val="24"/>
          <w:szCs w:val="24"/>
          <w:lang w:val="en" w:eastAsia="en-GB"/>
        </w:rPr>
      </w:pPr>
      <w:r w:rsidRPr="00682C4E">
        <w:rPr>
          <w:rFonts w:ascii="Times New Roman" w:eastAsia="Times New Roman" w:hAnsi="Times New Roman" w:cs="Times New Roman"/>
          <w:b/>
          <w:bCs/>
          <w:sz w:val="24"/>
          <w:szCs w:val="24"/>
          <w:lang w:val="en" w:eastAsia="en-GB"/>
        </w:rPr>
        <w:t xml:space="preserve">Closes </w:t>
      </w:r>
      <w:r>
        <w:rPr>
          <w:rFonts w:ascii="Times New Roman" w:eastAsia="Times New Roman" w:hAnsi="Times New Roman" w:cs="Times New Roman"/>
          <w:b/>
          <w:bCs/>
          <w:sz w:val="24"/>
          <w:szCs w:val="24"/>
          <w:lang w:val="en" w:eastAsia="en-GB"/>
        </w:rPr>
        <w:t>20</w:t>
      </w:r>
      <w:r w:rsidRPr="00682C4E">
        <w:rPr>
          <w:rFonts w:ascii="Times New Roman" w:eastAsia="Times New Roman" w:hAnsi="Times New Roman" w:cs="Times New Roman"/>
          <w:b/>
          <w:bCs/>
          <w:sz w:val="24"/>
          <w:szCs w:val="24"/>
          <w:vertAlign w:val="superscript"/>
          <w:lang w:val="en" w:eastAsia="en-GB"/>
        </w:rPr>
        <w:t>th</w:t>
      </w:r>
      <w:r>
        <w:rPr>
          <w:rFonts w:ascii="Times New Roman" w:eastAsia="Times New Roman" w:hAnsi="Times New Roman" w:cs="Times New Roman"/>
          <w:b/>
          <w:bCs/>
          <w:sz w:val="24"/>
          <w:szCs w:val="24"/>
          <w:lang w:val="en" w:eastAsia="en-GB"/>
        </w:rPr>
        <w:t xml:space="preserve"> February 2020</w:t>
      </w:r>
    </w:p>
    <w:p w14:paraId="412873A6" w14:textId="77777777" w:rsidR="00682C4E" w:rsidRPr="00682C4E" w:rsidRDefault="00682C4E" w:rsidP="00682C4E">
      <w:pPr>
        <w:spacing w:before="100" w:beforeAutospacing="1" w:after="98"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Opened </w:t>
      </w:r>
      <w:r>
        <w:rPr>
          <w:rFonts w:ascii="Times New Roman" w:eastAsia="Times New Roman" w:hAnsi="Times New Roman" w:cs="Times New Roman"/>
          <w:sz w:val="24"/>
          <w:szCs w:val="24"/>
          <w:lang w:val="en" w:eastAsia="en-GB"/>
        </w:rPr>
        <w:t>6</w:t>
      </w:r>
      <w:r w:rsidRPr="00682C4E">
        <w:rPr>
          <w:rFonts w:ascii="Times New Roman" w:eastAsia="Times New Roman" w:hAnsi="Times New Roman" w:cs="Times New Roman"/>
          <w:sz w:val="24"/>
          <w:szCs w:val="24"/>
          <w:vertAlign w:val="superscript"/>
          <w:lang w:val="en" w:eastAsia="en-GB"/>
        </w:rPr>
        <w:t>th</w:t>
      </w:r>
      <w:r>
        <w:rPr>
          <w:rFonts w:ascii="Times New Roman" w:eastAsia="Times New Roman" w:hAnsi="Times New Roman" w:cs="Times New Roman"/>
          <w:sz w:val="24"/>
          <w:szCs w:val="24"/>
          <w:lang w:val="en" w:eastAsia="en-GB"/>
        </w:rPr>
        <w:t xml:space="preserve"> February 2020</w:t>
      </w:r>
      <w:r w:rsidRPr="00682C4E">
        <w:rPr>
          <w:rFonts w:ascii="Times New Roman" w:eastAsia="Times New Roman" w:hAnsi="Times New Roman" w:cs="Times New Roman"/>
          <w:sz w:val="24"/>
          <w:szCs w:val="24"/>
          <w:lang w:val="en" w:eastAsia="en-GB"/>
        </w:rPr>
        <w:t xml:space="preserve"> </w:t>
      </w:r>
    </w:p>
    <w:p w14:paraId="47E98E68" w14:textId="77777777" w:rsidR="00682C4E" w:rsidRPr="00682C4E" w:rsidRDefault="00682C4E" w:rsidP="00682C4E">
      <w:pPr>
        <w:spacing w:before="100" w:beforeAutospacing="1" w:after="98" w:line="240" w:lineRule="auto"/>
        <w:outlineLvl w:val="2"/>
        <w:rPr>
          <w:rFonts w:ascii="Times New Roman" w:eastAsia="Times New Roman" w:hAnsi="Times New Roman" w:cs="Times New Roman"/>
          <w:b/>
          <w:bCs/>
          <w:sz w:val="36"/>
          <w:szCs w:val="36"/>
          <w:lang w:val="en" w:eastAsia="en-GB"/>
        </w:rPr>
      </w:pPr>
      <w:r w:rsidRPr="00682C4E">
        <w:rPr>
          <w:rFonts w:ascii="Times New Roman" w:eastAsia="Times New Roman" w:hAnsi="Times New Roman" w:cs="Times New Roman"/>
          <w:b/>
          <w:bCs/>
          <w:sz w:val="36"/>
          <w:szCs w:val="36"/>
          <w:lang w:val="en" w:eastAsia="en-GB"/>
        </w:rPr>
        <w:t>Contact</w:t>
      </w:r>
      <w:r w:rsidR="0006392D">
        <w:rPr>
          <w:rFonts w:ascii="Times New Roman" w:eastAsia="Times New Roman" w:hAnsi="Times New Roman" w:cs="Times New Roman"/>
          <w:b/>
          <w:bCs/>
          <w:sz w:val="36"/>
          <w:szCs w:val="36"/>
          <w:lang w:val="en" w:eastAsia="en-GB"/>
        </w:rPr>
        <w:t>: Jules Kavanagh</w:t>
      </w:r>
    </w:p>
    <w:p w14:paraId="66090338" w14:textId="77777777" w:rsidR="00682C4E" w:rsidRPr="00682C4E" w:rsidRDefault="00682C4E" w:rsidP="00682C4E">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682C4E">
        <w:rPr>
          <w:rFonts w:ascii="Times New Roman" w:eastAsia="Times New Roman" w:hAnsi="Times New Roman" w:cs="Times New Roman"/>
          <w:b/>
          <w:bCs/>
          <w:sz w:val="36"/>
          <w:szCs w:val="36"/>
          <w:lang w:val="en" w:eastAsia="en-GB"/>
        </w:rPr>
        <w:t>Overview</w:t>
      </w:r>
    </w:p>
    <w:p w14:paraId="02CD7A93" w14:textId="77777777" w:rsidR="00682C4E" w:rsidRPr="00682C4E" w:rsidRDefault="0006392D"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sidRPr="0006392D">
        <w:rPr>
          <w:rFonts w:ascii="Times New Roman" w:eastAsia="Times New Roman" w:hAnsi="Times New Roman" w:cs="Times New Roman"/>
          <w:bCs/>
          <w:iCs/>
          <w:sz w:val="24"/>
          <w:szCs w:val="24"/>
          <w:lang w:val="en" w:eastAsia="en-GB"/>
        </w:rPr>
        <w:t xml:space="preserve">Projects &amp; Technical Development </w:t>
      </w:r>
      <w:r w:rsidR="00682C4E" w:rsidRPr="0006392D">
        <w:rPr>
          <w:rFonts w:ascii="Times New Roman" w:eastAsia="Times New Roman" w:hAnsi="Times New Roman" w:cs="Times New Roman"/>
          <w:sz w:val="24"/>
          <w:szCs w:val="24"/>
          <w:lang w:val="en" w:eastAsia="en-GB"/>
        </w:rPr>
        <w:t xml:space="preserve">are completing a review of the fees and charges for the </w:t>
      </w:r>
      <w:r w:rsidR="00176BE6">
        <w:rPr>
          <w:rFonts w:ascii="Times New Roman" w:eastAsia="Times New Roman" w:hAnsi="Times New Roman" w:cs="Times New Roman"/>
          <w:bCs/>
          <w:iCs/>
          <w:sz w:val="24"/>
          <w:szCs w:val="24"/>
          <w:lang w:val="en" w:eastAsia="en-GB"/>
        </w:rPr>
        <w:t>Street Naming &amp; Numbering</w:t>
      </w:r>
      <w:r w:rsidR="00682C4E" w:rsidRPr="0006392D">
        <w:rPr>
          <w:rFonts w:ascii="Times New Roman" w:eastAsia="Times New Roman" w:hAnsi="Times New Roman" w:cs="Times New Roman"/>
          <w:sz w:val="24"/>
          <w:szCs w:val="24"/>
          <w:lang w:val="en" w:eastAsia="en-GB"/>
        </w:rPr>
        <w:t>.</w:t>
      </w:r>
      <w:r w:rsidR="00682C4E" w:rsidRPr="00682C4E">
        <w:rPr>
          <w:rFonts w:ascii="Times New Roman" w:eastAsia="Times New Roman" w:hAnsi="Times New Roman" w:cs="Times New Roman"/>
          <w:sz w:val="24"/>
          <w:szCs w:val="24"/>
          <w:lang w:val="en" w:eastAsia="en-GB"/>
        </w:rPr>
        <w:t xml:space="preserve"> The review forms part of the annual review of all fees and charges set by the Council’s trading services, and it is anticipated that any changes shall be implemented from 1</w:t>
      </w:r>
      <w:r w:rsidR="00682C4E" w:rsidRPr="00682C4E">
        <w:rPr>
          <w:rFonts w:ascii="Times New Roman" w:eastAsia="Times New Roman" w:hAnsi="Times New Roman" w:cs="Times New Roman"/>
          <w:sz w:val="24"/>
          <w:szCs w:val="24"/>
          <w:vertAlign w:val="superscript"/>
          <w:lang w:val="en" w:eastAsia="en-GB"/>
        </w:rPr>
        <w:t>st</w:t>
      </w:r>
      <w:r w:rsidR="00682C4E" w:rsidRPr="00682C4E">
        <w:rPr>
          <w:rFonts w:ascii="Times New Roman" w:eastAsia="Times New Roman" w:hAnsi="Times New Roman" w:cs="Times New Roman"/>
          <w:sz w:val="24"/>
          <w:szCs w:val="24"/>
          <w:lang w:val="en" w:eastAsia="en-GB"/>
        </w:rPr>
        <w:t xml:space="preserve"> April 2020.  </w:t>
      </w:r>
    </w:p>
    <w:p w14:paraId="1FE41D37" w14:textId="77777777" w:rsidR="00682C4E" w:rsidRDefault="00682C4E"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The purpose of this consultation is to receive your feedback on the proposed fees and charges proposals, your perceptions on value for money, your satisfaction with the service received, as well as providing an opportunity for any other feedback in relation to the services you receive. All feedback will help us to continually improve the services we provided to you. </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276"/>
        <w:gridCol w:w="1276"/>
        <w:gridCol w:w="1417"/>
      </w:tblGrid>
      <w:tr w:rsidR="005910F8" w:rsidRPr="00496941" w14:paraId="5A784528" w14:textId="77777777" w:rsidTr="009904E0">
        <w:trPr>
          <w:trHeight w:val="288"/>
        </w:trPr>
        <w:tc>
          <w:tcPr>
            <w:tcW w:w="4673" w:type="dxa"/>
            <w:shd w:val="clear" w:color="000000" w:fill="FFFFFF"/>
          </w:tcPr>
          <w:p w14:paraId="0D418939" w14:textId="77777777" w:rsidR="005910F8" w:rsidRPr="00496941" w:rsidRDefault="005910F8" w:rsidP="0004588A"/>
        </w:tc>
        <w:tc>
          <w:tcPr>
            <w:tcW w:w="1276" w:type="dxa"/>
            <w:shd w:val="clear" w:color="000000" w:fill="FFFFFF"/>
          </w:tcPr>
          <w:p w14:paraId="263A09B4" w14:textId="77777777" w:rsidR="005910F8" w:rsidRPr="00496941" w:rsidRDefault="005910F8" w:rsidP="0004588A">
            <w:r>
              <w:t>2018/19</w:t>
            </w:r>
          </w:p>
        </w:tc>
        <w:tc>
          <w:tcPr>
            <w:tcW w:w="1276" w:type="dxa"/>
            <w:shd w:val="clear" w:color="000000" w:fill="FFFFFF"/>
          </w:tcPr>
          <w:p w14:paraId="1B93087F" w14:textId="77777777" w:rsidR="005910F8" w:rsidRPr="00496941" w:rsidRDefault="005910F8" w:rsidP="0004588A">
            <w:r>
              <w:t>2019/20</w:t>
            </w:r>
          </w:p>
        </w:tc>
        <w:tc>
          <w:tcPr>
            <w:tcW w:w="1417" w:type="dxa"/>
            <w:shd w:val="clear" w:color="auto" w:fill="auto"/>
            <w:noWrap/>
          </w:tcPr>
          <w:p w14:paraId="72B9BC43" w14:textId="77777777" w:rsidR="005910F8" w:rsidRPr="00496941" w:rsidRDefault="005910F8" w:rsidP="0004588A">
            <w:r>
              <w:t>2020/21</w:t>
            </w:r>
            <w:bookmarkStart w:id="0" w:name="_GoBack"/>
            <w:bookmarkEnd w:id="0"/>
          </w:p>
        </w:tc>
      </w:tr>
      <w:tr w:rsidR="009904E0" w:rsidRPr="00496941" w14:paraId="05C05CC4" w14:textId="77777777" w:rsidTr="009904E0">
        <w:trPr>
          <w:trHeight w:val="288"/>
        </w:trPr>
        <w:tc>
          <w:tcPr>
            <w:tcW w:w="4673" w:type="dxa"/>
            <w:shd w:val="clear" w:color="000000" w:fill="FFFFFF"/>
            <w:hideMark/>
          </w:tcPr>
          <w:p w14:paraId="5302023F" w14:textId="77777777" w:rsidR="009904E0" w:rsidRPr="00496941" w:rsidRDefault="009904E0" w:rsidP="0004588A">
            <w:r w:rsidRPr="00496941">
              <w:t>Street Naming - New streets</w:t>
            </w:r>
          </w:p>
        </w:tc>
        <w:tc>
          <w:tcPr>
            <w:tcW w:w="1276" w:type="dxa"/>
            <w:shd w:val="clear" w:color="000000" w:fill="FFFFFF"/>
            <w:hideMark/>
          </w:tcPr>
          <w:p w14:paraId="0F1D0840" w14:textId="77777777" w:rsidR="009904E0" w:rsidRPr="00496941" w:rsidRDefault="009904E0" w:rsidP="0004588A">
            <w:r w:rsidRPr="00496941">
              <w:t>£250.00</w:t>
            </w:r>
          </w:p>
        </w:tc>
        <w:tc>
          <w:tcPr>
            <w:tcW w:w="1276" w:type="dxa"/>
            <w:shd w:val="clear" w:color="000000" w:fill="FFFFFF"/>
            <w:hideMark/>
          </w:tcPr>
          <w:p w14:paraId="67D23F29" w14:textId="77777777" w:rsidR="009904E0" w:rsidRPr="00496941" w:rsidRDefault="009904E0" w:rsidP="0004588A">
            <w:r w:rsidRPr="00496941">
              <w:t>£262.50</w:t>
            </w:r>
          </w:p>
        </w:tc>
        <w:tc>
          <w:tcPr>
            <w:tcW w:w="1417" w:type="dxa"/>
            <w:shd w:val="clear" w:color="auto" w:fill="auto"/>
            <w:noWrap/>
            <w:hideMark/>
          </w:tcPr>
          <w:p w14:paraId="07CE05C7" w14:textId="77777777" w:rsidR="009904E0" w:rsidRPr="00496941" w:rsidRDefault="009904E0" w:rsidP="0004588A">
            <w:r w:rsidRPr="00496941">
              <w:t>£280.00</w:t>
            </w:r>
          </w:p>
        </w:tc>
      </w:tr>
      <w:tr w:rsidR="009904E0" w:rsidRPr="00496941" w14:paraId="0EFFDDFA" w14:textId="77777777" w:rsidTr="009904E0">
        <w:trPr>
          <w:trHeight w:val="288"/>
        </w:trPr>
        <w:tc>
          <w:tcPr>
            <w:tcW w:w="4673" w:type="dxa"/>
            <w:shd w:val="clear" w:color="000000" w:fill="FFFFFF"/>
            <w:hideMark/>
          </w:tcPr>
          <w:p w14:paraId="3FB38AE4" w14:textId="77777777" w:rsidR="009904E0" w:rsidRPr="00496941" w:rsidRDefault="009904E0" w:rsidP="0004588A">
            <w:r w:rsidRPr="00496941">
              <w:t xml:space="preserve">Numbering into New </w:t>
            </w:r>
            <w:proofErr w:type="gramStart"/>
            <w:r w:rsidRPr="00496941">
              <w:t>or  Existing</w:t>
            </w:r>
            <w:proofErr w:type="gramEnd"/>
            <w:r w:rsidRPr="00496941">
              <w:t xml:space="preserve"> Streets - 1 to 5 Properties</w:t>
            </w:r>
          </w:p>
        </w:tc>
        <w:tc>
          <w:tcPr>
            <w:tcW w:w="1276" w:type="dxa"/>
            <w:shd w:val="clear" w:color="000000" w:fill="FFFFFF"/>
            <w:hideMark/>
          </w:tcPr>
          <w:p w14:paraId="65E435CD" w14:textId="77777777" w:rsidR="009904E0" w:rsidRPr="00496941" w:rsidRDefault="009904E0" w:rsidP="0004588A">
            <w:r w:rsidRPr="00496941">
              <w:t>£170.00</w:t>
            </w:r>
          </w:p>
        </w:tc>
        <w:tc>
          <w:tcPr>
            <w:tcW w:w="1276" w:type="dxa"/>
            <w:shd w:val="clear" w:color="000000" w:fill="FFFFFF"/>
            <w:hideMark/>
          </w:tcPr>
          <w:p w14:paraId="7EF0E5AA" w14:textId="77777777" w:rsidR="009904E0" w:rsidRPr="00496941" w:rsidRDefault="009904E0" w:rsidP="0004588A">
            <w:r w:rsidRPr="00496941">
              <w:t>£178.50</w:t>
            </w:r>
          </w:p>
        </w:tc>
        <w:tc>
          <w:tcPr>
            <w:tcW w:w="1417" w:type="dxa"/>
            <w:shd w:val="clear" w:color="auto" w:fill="auto"/>
            <w:noWrap/>
            <w:hideMark/>
          </w:tcPr>
          <w:p w14:paraId="7AA7B60C" w14:textId="77777777" w:rsidR="009904E0" w:rsidRPr="00496941" w:rsidRDefault="009904E0" w:rsidP="0004588A">
            <w:r w:rsidRPr="00496941">
              <w:t>£190.00</w:t>
            </w:r>
          </w:p>
        </w:tc>
      </w:tr>
      <w:tr w:rsidR="009904E0" w:rsidRPr="00496941" w14:paraId="31EED9CB" w14:textId="77777777" w:rsidTr="009904E0">
        <w:trPr>
          <w:trHeight w:val="288"/>
        </w:trPr>
        <w:tc>
          <w:tcPr>
            <w:tcW w:w="4673" w:type="dxa"/>
            <w:shd w:val="clear" w:color="000000" w:fill="FFFFFF"/>
            <w:hideMark/>
          </w:tcPr>
          <w:p w14:paraId="08F37DCA" w14:textId="77777777" w:rsidR="009904E0" w:rsidRPr="00496941" w:rsidRDefault="009904E0" w:rsidP="0004588A">
            <w:r w:rsidRPr="00496941">
              <w:t xml:space="preserve">Numbering into New </w:t>
            </w:r>
            <w:proofErr w:type="gramStart"/>
            <w:r w:rsidRPr="00496941">
              <w:t>or  Existing</w:t>
            </w:r>
            <w:proofErr w:type="gramEnd"/>
            <w:r w:rsidRPr="00496941">
              <w:t xml:space="preserve"> Streets - 6 to 25 Properties</w:t>
            </w:r>
          </w:p>
        </w:tc>
        <w:tc>
          <w:tcPr>
            <w:tcW w:w="1276" w:type="dxa"/>
            <w:shd w:val="clear" w:color="000000" w:fill="FFFFFF"/>
            <w:hideMark/>
          </w:tcPr>
          <w:p w14:paraId="002D6A2E" w14:textId="77777777" w:rsidR="009904E0" w:rsidRPr="00496941" w:rsidRDefault="009904E0" w:rsidP="0004588A">
            <w:r w:rsidRPr="00496941">
              <w:t>£415.00</w:t>
            </w:r>
          </w:p>
        </w:tc>
        <w:tc>
          <w:tcPr>
            <w:tcW w:w="1276" w:type="dxa"/>
            <w:shd w:val="clear" w:color="000000" w:fill="FFFFFF"/>
            <w:hideMark/>
          </w:tcPr>
          <w:p w14:paraId="694F183D" w14:textId="77777777" w:rsidR="009904E0" w:rsidRPr="00496941" w:rsidRDefault="009904E0" w:rsidP="0004588A">
            <w:r w:rsidRPr="00496941">
              <w:t>£435.00</w:t>
            </w:r>
          </w:p>
        </w:tc>
        <w:tc>
          <w:tcPr>
            <w:tcW w:w="1417" w:type="dxa"/>
            <w:shd w:val="clear" w:color="auto" w:fill="auto"/>
            <w:noWrap/>
            <w:hideMark/>
          </w:tcPr>
          <w:p w14:paraId="1A61B87A" w14:textId="77777777" w:rsidR="009904E0" w:rsidRPr="00496941" w:rsidRDefault="009904E0" w:rsidP="0004588A">
            <w:r w:rsidRPr="00496941">
              <w:t>£455.00</w:t>
            </w:r>
          </w:p>
        </w:tc>
      </w:tr>
      <w:tr w:rsidR="009904E0" w:rsidRPr="00496941" w14:paraId="5B9CC161" w14:textId="77777777" w:rsidTr="009904E0">
        <w:trPr>
          <w:trHeight w:val="288"/>
        </w:trPr>
        <w:tc>
          <w:tcPr>
            <w:tcW w:w="4673" w:type="dxa"/>
            <w:shd w:val="clear" w:color="000000" w:fill="FFFFFF"/>
            <w:hideMark/>
          </w:tcPr>
          <w:p w14:paraId="33260070" w14:textId="77777777" w:rsidR="009904E0" w:rsidRPr="00496941" w:rsidRDefault="009904E0" w:rsidP="0004588A">
            <w:r w:rsidRPr="00496941">
              <w:t xml:space="preserve">Numbering into New </w:t>
            </w:r>
            <w:proofErr w:type="gramStart"/>
            <w:r w:rsidRPr="00496941">
              <w:t>or  Existing</w:t>
            </w:r>
            <w:proofErr w:type="gramEnd"/>
            <w:r w:rsidRPr="00496941">
              <w:t xml:space="preserve"> Streets - 26 to 75 Properties</w:t>
            </w:r>
          </w:p>
        </w:tc>
        <w:tc>
          <w:tcPr>
            <w:tcW w:w="1276" w:type="dxa"/>
            <w:shd w:val="clear" w:color="000000" w:fill="FFFFFF"/>
            <w:hideMark/>
          </w:tcPr>
          <w:p w14:paraId="53EB8B4C" w14:textId="77777777" w:rsidR="009904E0" w:rsidRPr="00496941" w:rsidRDefault="009904E0" w:rsidP="0004588A">
            <w:r w:rsidRPr="00496941">
              <w:t>£660.00</w:t>
            </w:r>
          </w:p>
        </w:tc>
        <w:tc>
          <w:tcPr>
            <w:tcW w:w="1276" w:type="dxa"/>
            <w:shd w:val="clear" w:color="000000" w:fill="FFFFFF"/>
            <w:hideMark/>
          </w:tcPr>
          <w:p w14:paraId="0E4BCECF" w14:textId="77777777" w:rsidR="009904E0" w:rsidRPr="00496941" w:rsidRDefault="009904E0" w:rsidP="0004588A">
            <w:r w:rsidRPr="00496941">
              <w:t>£693.00</w:t>
            </w:r>
          </w:p>
        </w:tc>
        <w:tc>
          <w:tcPr>
            <w:tcW w:w="1417" w:type="dxa"/>
            <w:shd w:val="clear" w:color="auto" w:fill="auto"/>
            <w:noWrap/>
            <w:hideMark/>
          </w:tcPr>
          <w:p w14:paraId="0D4999C5" w14:textId="77777777" w:rsidR="009904E0" w:rsidRPr="00496941" w:rsidRDefault="009904E0" w:rsidP="0004588A">
            <w:r w:rsidRPr="00496941">
              <w:t>£730.00</w:t>
            </w:r>
          </w:p>
        </w:tc>
      </w:tr>
      <w:tr w:rsidR="009904E0" w:rsidRPr="00496941" w14:paraId="5FCE9E00" w14:textId="77777777" w:rsidTr="009904E0">
        <w:trPr>
          <w:trHeight w:val="288"/>
        </w:trPr>
        <w:tc>
          <w:tcPr>
            <w:tcW w:w="4673" w:type="dxa"/>
            <w:shd w:val="clear" w:color="000000" w:fill="FFFFFF"/>
            <w:hideMark/>
          </w:tcPr>
          <w:p w14:paraId="27B38387" w14:textId="77777777" w:rsidR="009904E0" w:rsidRPr="00496941" w:rsidRDefault="009904E0" w:rsidP="0004588A">
            <w:r w:rsidRPr="00496941">
              <w:t xml:space="preserve">Numbering into New </w:t>
            </w:r>
            <w:proofErr w:type="gramStart"/>
            <w:r w:rsidRPr="00496941">
              <w:t>or  Existing</w:t>
            </w:r>
            <w:proofErr w:type="gramEnd"/>
            <w:r w:rsidRPr="00496941">
              <w:t xml:space="preserve"> Streets - 76+ Properties</w:t>
            </w:r>
          </w:p>
        </w:tc>
        <w:tc>
          <w:tcPr>
            <w:tcW w:w="1276" w:type="dxa"/>
            <w:shd w:val="clear" w:color="000000" w:fill="FFFFFF"/>
            <w:hideMark/>
          </w:tcPr>
          <w:p w14:paraId="2CC98AFD" w14:textId="77777777" w:rsidR="009904E0" w:rsidRPr="00496941" w:rsidRDefault="009904E0" w:rsidP="0004588A">
            <w:r w:rsidRPr="00496941">
              <w:t>£995.00</w:t>
            </w:r>
          </w:p>
        </w:tc>
        <w:tc>
          <w:tcPr>
            <w:tcW w:w="1276" w:type="dxa"/>
            <w:shd w:val="clear" w:color="000000" w:fill="FFFFFF"/>
            <w:hideMark/>
          </w:tcPr>
          <w:p w14:paraId="4AE5E78C" w14:textId="77777777" w:rsidR="009904E0" w:rsidRPr="00496941" w:rsidRDefault="009904E0" w:rsidP="0004588A">
            <w:r w:rsidRPr="00496941">
              <w:t>£1,045.00</w:t>
            </w:r>
          </w:p>
        </w:tc>
        <w:tc>
          <w:tcPr>
            <w:tcW w:w="1417" w:type="dxa"/>
            <w:shd w:val="clear" w:color="auto" w:fill="auto"/>
            <w:noWrap/>
            <w:hideMark/>
          </w:tcPr>
          <w:p w14:paraId="70F0C551" w14:textId="77777777" w:rsidR="009904E0" w:rsidRPr="00496941" w:rsidRDefault="009904E0" w:rsidP="0004588A">
            <w:r w:rsidRPr="00496941">
              <w:t>£1,100.00</w:t>
            </w:r>
          </w:p>
        </w:tc>
      </w:tr>
      <w:tr w:rsidR="009904E0" w:rsidRPr="00496941" w14:paraId="20CE338D" w14:textId="77777777" w:rsidTr="009904E0">
        <w:trPr>
          <w:trHeight w:val="552"/>
        </w:trPr>
        <w:tc>
          <w:tcPr>
            <w:tcW w:w="4673" w:type="dxa"/>
            <w:shd w:val="clear" w:color="000000" w:fill="FFFFFF"/>
            <w:hideMark/>
          </w:tcPr>
          <w:p w14:paraId="14903D4B" w14:textId="77777777" w:rsidR="009904E0" w:rsidRPr="00496941" w:rsidRDefault="009904E0" w:rsidP="0004588A">
            <w:r w:rsidRPr="00496941">
              <w:t>Renumbering of an application following a change in layout by the developer - 1 to 5 Properties</w:t>
            </w:r>
          </w:p>
        </w:tc>
        <w:tc>
          <w:tcPr>
            <w:tcW w:w="1276" w:type="dxa"/>
            <w:shd w:val="clear" w:color="000000" w:fill="FFFFFF"/>
            <w:hideMark/>
          </w:tcPr>
          <w:p w14:paraId="7C8C312C" w14:textId="77777777" w:rsidR="009904E0" w:rsidRPr="00496941" w:rsidRDefault="009904E0" w:rsidP="0004588A">
            <w:r w:rsidRPr="00496941">
              <w:t>£170.00</w:t>
            </w:r>
          </w:p>
        </w:tc>
        <w:tc>
          <w:tcPr>
            <w:tcW w:w="1276" w:type="dxa"/>
            <w:shd w:val="clear" w:color="000000" w:fill="FFFFFF"/>
            <w:hideMark/>
          </w:tcPr>
          <w:p w14:paraId="29475767" w14:textId="77777777" w:rsidR="009904E0" w:rsidRPr="00496941" w:rsidRDefault="009904E0" w:rsidP="0004588A">
            <w:r w:rsidRPr="00496941">
              <w:t>£178.50</w:t>
            </w:r>
          </w:p>
        </w:tc>
        <w:tc>
          <w:tcPr>
            <w:tcW w:w="1417" w:type="dxa"/>
            <w:shd w:val="clear" w:color="auto" w:fill="auto"/>
            <w:noWrap/>
            <w:hideMark/>
          </w:tcPr>
          <w:p w14:paraId="30F0CBFB" w14:textId="77777777" w:rsidR="009904E0" w:rsidRPr="00496941" w:rsidRDefault="009904E0" w:rsidP="0004588A">
            <w:r w:rsidRPr="00496941">
              <w:t>£190.00</w:t>
            </w:r>
          </w:p>
        </w:tc>
      </w:tr>
      <w:tr w:rsidR="009904E0" w:rsidRPr="00496941" w14:paraId="14D5C0CD" w14:textId="77777777" w:rsidTr="009904E0">
        <w:trPr>
          <w:trHeight w:val="552"/>
        </w:trPr>
        <w:tc>
          <w:tcPr>
            <w:tcW w:w="4673" w:type="dxa"/>
            <w:shd w:val="clear" w:color="000000" w:fill="FFFFFF"/>
            <w:hideMark/>
          </w:tcPr>
          <w:p w14:paraId="219C7A1F" w14:textId="77777777" w:rsidR="009904E0" w:rsidRPr="00496941" w:rsidRDefault="009904E0" w:rsidP="0004588A">
            <w:r w:rsidRPr="00496941">
              <w:t xml:space="preserve">Renumbering of an application following a change in layout by the </w:t>
            </w:r>
            <w:proofErr w:type="gramStart"/>
            <w:r w:rsidRPr="00496941">
              <w:t>developer  -</w:t>
            </w:r>
            <w:proofErr w:type="gramEnd"/>
            <w:r w:rsidRPr="00496941">
              <w:t xml:space="preserve"> 6 to 25 Properties</w:t>
            </w:r>
          </w:p>
        </w:tc>
        <w:tc>
          <w:tcPr>
            <w:tcW w:w="1276" w:type="dxa"/>
            <w:shd w:val="clear" w:color="000000" w:fill="FFFFFF"/>
            <w:hideMark/>
          </w:tcPr>
          <w:p w14:paraId="0B05BF32" w14:textId="77777777" w:rsidR="009904E0" w:rsidRPr="00496941" w:rsidRDefault="009904E0" w:rsidP="0004588A">
            <w:r w:rsidRPr="00496941">
              <w:t>£415.00</w:t>
            </w:r>
          </w:p>
        </w:tc>
        <w:tc>
          <w:tcPr>
            <w:tcW w:w="1276" w:type="dxa"/>
            <w:shd w:val="clear" w:color="000000" w:fill="FFFFFF"/>
            <w:hideMark/>
          </w:tcPr>
          <w:p w14:paraId="7684A306" w14:textId="77777777" w:rsidR="009904E0" w:rsidRPr="00496941" w:rsidRDefault="009904E0" w:rsidP="0004588A">
            <w:r w:rsidRPr="00496941">
              <w:t>£435.00</w:t>
            </w:r>
          </w:p>
        </w:tc>
        <w:tc>
          <w:tcPr>
            <w:tcW w:w="1417" w:type="dxa"/>
            <w:shd w:val="clear" w:color="auto" w:fill="auto"/>
            <w:noWrap/>
            <w:hideMark/>
          </w:tcPr>
          <w:p w14:paraId="596F106B" w14:textId="77777777" w:rsidR="009904E0" w:rsidRPr="00496941" w:rsidRDefault="009904E0" w:rsidP="0004588A">
            <w:r w:rsidRPr="00496941">
              <w:t>£455.00</w:t>
            </w:r>
          </w:p>
        </w:tc>
      </w:tr>
      <w:tr w:rsidR="009904E0" w:rsidRPr="00496941" w14:paraId="6F3D31FB" w14:textId="77777777" w:rsidTr="009904E0">
        <w:trPr>
          <w:trHeight w:val="552"/>
        </w:trPr>
        <w:tc>
          <w:tcPr>
            <w:tcW w:w="4673" w:type="dxa"/>
            <w:shd w:val="clear" w:color="000000" w:fill="FFFFFF"/>
            <w:hideMark/>
          </w:tcPr>
          <w:p w14:paraId="67522979" w14:textId="77777777" w:rsidR="009904E0" w:rsidRPr="00496941" w:rsidRDefault="009904E0" w:rsidP="0004588A">
            <w:r w:rsidRPr="00496941">
              <w:t xml:space="preserve">Renumbering of an application following a change in layout by the developer - 26 to 75 </w:t>
            </w:r>
            <w:r w:rsidRPr="00496941">
              <w:lastRenderedPageBreak/>
              <w:t>Properties</w:t>
            </w:r>
          </w:p>
        </w:tc>
        <w:tc>
          <w:tcPr>
            <w:tcW w:w="1276" w:type="dxa"/>
            <w:shd w:val="clear" w:color="000000" w:fill="FFFFFF"/>
            <w:hideMark/>
          </w:tcPr>
          <w:p w14:paraId="560DFF37" w14:textId="77777777" w:rsidR="009904E0" w:rsidRPr="00496941" w:rsidRDefault="009904E0" w:rsidP="0004588A">
            <w:r w:rsidRPr="00496941">
              <w:lastRenderedPageBreak/>
              <w:t>£660.00</w:t>
            </w:r>
          </w:p>
        </w:tc>
        <w:tc>
          <w:tcPr>
            <w:tcW w:w="1276" w:type="dxa"/>
            <w:shd w:val="clear" w:color="000000" w:fill="FFFFFF"/>
            <w:hideMark/>
          </w:tcPr>
          <w:p w14:paraId="7204CF46" w14:textId="77777777" w:rsidR="009904E0" w:rsidRPr="00496941" w:rsidRDefault="009904E0" w:rsidP="0004588A">
            <w:r w:rsidRPr="00496941">
              <w:t>£693.00</w:t>
            </w:r>
          </w:p>
        </w:tc>
        <w:tc>
          <w:tcPr>
            <w:tcW w:w="1417" w:type="dxa"/>
            <w:shd w:val="clear" w:color="auto" w:fill="auto"/>
            <w:noWrap/>
            <w:hideMark/>
          </w:tcPr>
          <w:p w14:paraId="3D9098A8" w14:textId="77777777" w:rsidR="009904E0" w:rsidRPr="00496941" w:rsidRDefault="009904E0" w:rsidP="0004588A">
            <w:r w:rsidRPr="00496941">
              <w:t>£730.00</w:t>
            </w:r>
          </w:p>
        </w:tc>
      </w:tr>
      <w:tr w:rsidR="009904E0" w:rsidRPr="00496941" w14:paraId="0FB099F4" w14:textId="77777777" w:rsidTr="009904E0">
        <w:trPr>
          <w:trHeight w:val="552"/>
        </w:trPr>
        <w:tc>
          <w:tcPr>
            <w:tcW w:w="4673" w:type="dxa"/>
            <w:shd w:val="clear" w:color="000000" w:fill="FFFFFF"/>
            <w:hideMark/>
          </w:tcPr>
          <w:p w14:paraId="19B358EE" w14:textId="77777777" w:rsidR="009904E0" w:rsidRPr="00496941" w:rsidRDefault="009904E0" w:rsidP="0004588A">
            <w:r w:rsidRPr="00496941">
              <w:t>Renumbering of an application following a change in layout by the developer - 76+ Properties</w:t>
            </w:r>
          </w:p>
        </w:tc>
        <w:tc>
          <w:tcPr>
            <w:tcW w:w="1276" w:type="dxa"/>
            <w:shd w:val="clear" w:color="000000" w:fill="FFFFFF"/>
            <w:hideMark/>
          </w:tcPr>
          <w:p w14:paraId="106767EC" w14:textId="77777777" w:rsidR="009904E0" w:rsidRPr="00496941" w:rsidRDefault="009904E0" w:rsidP="0004588A">
            <w:r w:rsidRPr="00496941">
              <w:t>£995.00</w:t>
            </w:r>
          </w:p>
        </w:tc>
        <w:tc>
          <w:tcPr>
            <w:tcW w:w="1276" w:type="dxa"/>
            <w:shd w:val="clear" w:color="000000" w:fill="FFFFFF"/>
            <w:hideMark/>
          </w:tcPr>
          <w:p w14:paraId="6A0A8AD2" w14:textId="77777777" w:rsidR="009904E0" w:rsidRPr="00496941" w:rsidRDefault="009904E0" w:rsidP="0004588A">
            <w:r w:rsidRPr="00496941">
              <w:t>£1,045.00</w:t>
            </w:r>
          </w:p>
        </w:tc>
        <w:tc>
          <w:tcPr>
            <w:tcW w:w="1417" w:type="dxa"/>
            <w:shd w:val="clear" w:color="auto" w:fill="auto"/>
            <w:noWrap/>
            <w:hideMark/>
          </w:tcPr>
          <w:p w14:paraId="317C7C12" w14:textId="77777777" w:rsidR="009904E0" w:rsidRPr="00496941" w:rsidRDefault="009904E0" w:rsidP="0004588A">
            <w:r w:rsidRPr="00496941">
              <w:t>£1,100.00</w:t>
            </w:r>
          </w:p>
        </w:tc>
      </w:tr>
      <w:tr w:rsidR="009904E0" w:rsidRPr="00496941" w14:paraId="3711BFD7" w14:textId="77777777" w:rsidTr="009904E0">
        <w:trPr>
          <w:trHeight w:val="552"/>
        </w:trPr>
        <w:tc>
          <w:tcPr>
            <w:tcW w:w="4673" w:type="dxa"/>
            <w:shd w:val="clear" w:color="000000" w:fill="FFFFFF"/>
            <w:hideMark/>
          </w:tcPr>
          <w:p w14:paraId="050EF033" w14:textId="77777777" w:rsidR="009904E0" w:rsidRPr="00496941" w:rsidRDefault="009904E0" w:rsidP="0004588A">
            <w:r w:rsidRPr="00496941">
              <w:t xml:space="preserve">Renaming of a property or individual units </w:t>
            </w:r>
            <w:proofErr w:type="gramStart"/>
            <w:r w:rsidRPr="00496941">
              <w:t>within  -</w:t>
            </w:r>
            <w:proofErr w:type="gramEnd"/>
            <w:r w:rsidRPr="00496941">
              <w:t xml:space="preserve"> 1 to 5 Properties</w:t>
            </w:r>
          </w:p>
        </w:tc>
        <w:tc>
          <w:tcPr>
            <w:tcW w:w="1276" w:type="dxa"/>
            <w:shd w:val="clear" w:color="000000" w:fill="FFFFFF"/>
            <w:hideMark/>
          </w:tcPr>
          <w:p w14:paraId="29217DBD" w14:textId="77777777" w:rsidR="009904E0" w:rsidRPr="00496941" w:rsidRDefault="009904E0" w:rsidP="0004588A">
            <w:r w:rsidRPr="00496941">
              <w:t>£170.00</w:t>
            </w:r>
          </w:p>
        </w:tc>
        <w:tc>
          <w:tcPr>
            <w:tcW w:w="1276" w:type="dxa"/>
            <w:shd w:val="clear" w:color="000000" w:fill="FFFFFF"/>
            <w:hideMark/>
          </w:tcPr>
          <w:p w14:paraId="04E191C2" w14:textId="77777777" w:rsidR="009904E0" w:rsidRPr="00496941" w:rsidRDefault="009904E0" w:rsidP="0004588A">
            <w:r w:rsidRPr="00496941">
              <w:t>£178.50</w:t>
            </w:r>
          </w:p>
        </w:tc>
        <w:tc>
          <w:tcPr>
            <w:tcW w:w="1417" w:type="dxa"/>
            <w:shd w:val="clear" w:color="auto" w:fill="auto"/>
            <w:noWrap/>
            <w:hideMark/>
          </w:tcPr>
          <w:p w14:paraId="5CA167A3" w14:textId="77777777" w:rsidR="009904E0" w:rsidRPr="00496941" w:rsidRDefault="009904E0" w:rsidP="0004588A">
            <w:r w:rsidRPr="00496941">
              <w:t>£190.00</w:t>
            </w:r>
          </w:p>
        </w:tc>
      </w:tr>
      <w:tr w:rsidR="009904E0" w:rsidRPr="00496941" w14:paraId="74842ABF" w14:textId="77777777" w:rsidTr="009904E0">
        <w:trPr>
          <w:trHeight w:val="552"/>
        </w:trPr>
        <w:tc>
          <w:tcPr>
            <w:tcW w:w="4673" w:type="dxa"/>
            <w:shd w:val="clear" w:color="000000" w:fill="FFFFFF"/>
            <w:hideMark/>
          </w:tcPr>
          <w:p w14:paraId="3EF97CF6" w14:textId="77777777" w:rsidR="009904E0" w:rsidRPr="00496941" w:rsidRDefault="009904E0" w:rsidP="0004588A">
            <w:r w:rsidRPr="00496941">
              <w:t>Renaming of a property or individual units within - 6 to 25 Properties</w:t>
            </w:r>
          </w:p>
        </w:tc>
        <w:tc>
          <w:tcPr>
            <w:tcW w:w="1276" w:type="dxa"/>
            <w:shd w:val="clear" w:color="000000" w:fill="FFFFFF"/>
            <w:hideMark/>
          </w:tcPr>
          <w:p w14:paraId="043BCBC1" w14:textId="77777777" w:rsidR="009904E0" w:rsidRPr="00496941" w:rsidRDefault="009904E0" w:rsidP="0004588A">
            <w:r w:rsidRPr="00496941">
              <w:t>£415.00</w:t>
            </w:r>
          </w:p>
        </w:tc>
        <w:tc>
          <w:tcPr>
            <w:tcW w:w="1276" w:type="dxa"/>
            <w:shd w:val="clear" w:color="000000" w:fill="FFFFFF"/>
            <w:hideMark/>
          </w:tcPr>
          <w:p w14:paraId="05044B30" w14:textId="77777777" w:rsidR="009904E0" w:rsidRPr="00496941" w:rsidRDefault="009904E0" w:rsidP="0004588A">
            <w:r w:rsidRPr="00496941">
              <w:t>£435.00</w:t>
            </w:r>
          </w:p>
        </w:tc>
        <w:tc>
          <w:tcPr>
            <w:tcW w:w="1417" w:type="dxa"/>
            <w:shd w:val="clear" w:color="auto" w:fill="auto"/>
            <w:noWrap/>
            <w:hideMark/>
          </w:tcPr>
          <w:p w14:paraId="10C51A07" w14:textId="77777777" w:rsidR="009904E0" w:rsidRPr="00496941" w:rsidRDefault="009904E0" w:rsidP="0004588A">
            <w:r w:rsidRPr="00496941">
              <w:t>£455.00</w:t>
            </w:r>
          </w:p>
        </w:tc>
      </w:tr>
      <w:tr w:rsidR="009904E0" w:rsidRPr="00496941" w14:paraId="296CE5EA" w14:textId="77777777" w:rsidTr="009904E0">
        <w:trPr>
          <w:trHeight w:val="552"/>
        </w:trPr>
        <w:tc>
          <w:tcPr>
            <w:tcW w:w="4673" w:type="dxa"/>
            <w:shd w:val="clear" w:color="000000" w:fill="FFFFFF"/>
            <w:hideMark/>
          </w:tcPr>
          <w:p w14:paraId="0D68E809" w14:textId="77777777" w:rsidR="009904E0" w:rsidRPr="00496941" w:rsidRDefault="009904E0" w:rsidP="0004588A">
            <w:r w:rsidRPr="00496941">
              <w:t>Renaming of a property or individual units within - 26 to 75 Properties</w:t>
            </w:r>
          </w:p>
        </w:tc>
        <w:tc>
          <w:tcPr>
            <w:tcW w:w="1276" w:type="dxa"/>
            <w:shd w:val="clear" w:color="000000" w:fill="FFFFFF"/>
            <w:hideMark/>
          </w:tcPr>
          <w:p w14:paraId="0C9A647C" w14:textId="77777777" w:rsidR="009904E0" w:rsidRPr="00496941" w:rsidRDefault="009904E0" w:rsidP="0004588A">
            <w:r w:rsidRPr="00496941">
              <w:t>£660.00</w:t>
            </w:r>
          </w:p>
        </w:tc>
        <w:tc>
          <w:tcPr>
            <w:tcW w:w="1276" w:type="dxa"/>
            <w:shd w:val="clear" w:color="000000" w:fill="FFFFFF"/>
            <w:hideMark/>
          </w:tcPr>
          <w:p w14:paraId="1A0D99E7" w14:textId="77777777" w:rsidR="009904E0" w:rsidRPr="00496941" w:rsidRDefault="009904E0" w:rsidP="0004588A">
            <w:r w:rsidRPr="00496941">
              <w:t>£693.00</w:t>
            </w:r>
          </w:p>
        </w:tc>
        <w:tc>
          <w:tcPr>
            <w:tcW w:w="1417" w:type="dxa"/>
            <w:shd w:val="clear" w:color="auto" w:fill="auto"/>
            <w:noWrap/>
            <w:hideMark/>
          </w:tcPr>
          <w:p w14:paraId="16D5F6E1" w14:textId="77777777" w:rsidR="009904E0" w:rsidRPr="00496941" w:rsidRDefault="009904E0" w:rsidP="0004588A">
            <w:r w:rsidRPr="00496941">
              <w:t>£730.00</w:t>
            </w:r>
          </w:p>
        </w:tc>
      </w:tr>
      <w:tr w:rsidR="009904E0" w:rsidRPr="00496941" w14:paraId="2636BA3E" w14:textId="77777777" w:rsidTr="009904E0">
        <w:trPr>
          <w:trHeight w:val="288"/>
        </w:trPr>
        <w:tc>
          <w:tcPr>
            <w:tcW w:w="4673" w:type="dxa"/>
            <w:shd w:val="clear" w:color="000000" w:fill="FFFFFF"/>
            <w:hideMark/>
          </w:tcPr>
          <w:p w14:paraId="51BD031F" w14:textId="77777777" w:rsidR="009904E0" w:rsidRPr="00496941" w:rsidRDefault="009904E0" w:rsidP="0004588A">
            <w:r w:rsidRPr="00496941">
              <w:t>Renaming of a property or individual units within - 76+ Properties</w:t>
            </w:r>
          </w:p>
        </w:tc>
        <w:tc>
          <w:tcPr>
            <w:tcW w:w="1276" w:type="dxa"/>
            <w:shd w:val="clear" w:color="000000" w:fill="FFFFFF"/>
            <w:hideMark/>
          </w:tcPr>
          <w:p w14:paraId="5B2D902E" w14:textId="77777777" w:rsidR="009904E0" w:rsidRPr="00496941" w:rsidRDefault="009904E0" w:rsidP="0004588A">
            <w:r w:rsidRPr="00496941">
              <w:t>£785.00</w:t>
            </w:r>
          </w:p>
        </w:tc>
        <w:tc>
          <w:tcPr>
            <w:tcW w:w="1276" w:type="dxa"/>
            <w:shd w:val="clear" w:color="000000" w:fill="FFFFFF"/>
            <w:hideMark/>
          </w:tcPr>
          <w:p w14:paraId="7E011F55" w14:textId="77777777" w:rsidR="009904E0" w:rsidRPr="00496941" w:rsidRDefault="009904E0" w:rsidP="0004588A">
            <w:r w:rsidRPr="00496941">
              <w:t>£824.25</w:t>
            </w:r>
          </w:p>
        </w:tc>
        <w:tc>
          <w:tcPr>
            <w:tcW w:w="1417" w:type="dxa"/>
            <w:shd w:val="clear" w:color="auto" w:fill="auto"/>
            <w:noWrap/>
            <w:hideMark/>
          </w:tcPr>
          <w:p w14:paraId="0C1BEBEE" w14:textId="77777777" w:rsidR="009904E0" w:rsidRPr="00496941" w:rsidRDefault="009904E0" w:rsidP="0004588A">
            <w:r w:rsidRPr="00496941">
              <w:t>£865.00</w:t>
            </w:r>
          </w:p>
        </w:tc>
      </w:tr>
      <w:tr w:rsidR="009904E0" w:rsidRPr="00496941" w14:paraId="1D87B690" w14:textId="77777777" w:rsidTr="009904E0">
        <w:trPr>
          <w:trHeight w:val="288"/>
        </w:trPr>
        <w:tc>
          <w:tcPr>
            <w:tcW w:w="4673" w:type="dxa"/>
            <w:shd w:val="clear" w:color="000000" w:fill="FFFFFF"/>
            <w:hideMark/>
          </w:tcPr>
          <w:p w14:paraId="1C939984" w14:textId="77777777" w:rsidR="009904E0" w:rsidRPr="00496941" w:rsidRDefault="009904E0" w:rsidP="0004588A">
            <w:r w:rsidRPr="00496941">
              <w:t>Renaming of a Street - Magistrate Court Costs</w:t>
            </w:r>
          </w:p>
        </w:tc>
        <w:tc>
          <w:tcPr>
            <w:tcW w:w="1276" w:type="dxa"/>
            <w:shd w:val="clear" w:color="000000" w:fill="FFFFFF"/>
            <w:hideMark/>
          </w:tcPr>
          <w:p w14:paraId="6575313F" w14:textId="77777777" w:rsidR="009904E0" w:rsidRPr="00496941" w:rsidRDefault="009904E0" w:rsidP="0004588A">
            <w:r w:rsidRPr="00496941">
              <w:t>£4000-£5000</w:t>
            </w:r>
          </w:p>
        </w:tc>
        <w:tc>
          <w:tcPr>
            <w:tcW w:w="1276" w:type="dxa"/>
            <w:shd w:val="clear" w:color="000000" w:fill="FFFFFF"/>
            <w:hideMark/>
          </w:tcPr>
          <w:p w14:paraId="5BEF24FD" w14:textId="77777777" w:rsidR="009904E0" w:rsidRPr="00496941" w:rsidRDefault="009904E0" w:rsidP="0004588A">
            <w:r w:rsidRPr="00496941">
              <w:t>£4000-£5000</w:t>
            </w:r>
          </w:p>
        </w:tc>
        <w:tc>
          <w:tcPr>
            <w:tcW w:w="1417" w:type="dxa"/>
            <w:shd w:val="clear" w:color="000000" w:fill="FFFFFF"/>
            <w:hideMark/>
          </w:tcPr>
          <w:p w14:paraId="006AD55B" w14:textId="77777777" w:rsidR="009904E0" w:rsidRPr="00496941" w:rsidRDefault="009904E0" w:rsidP="0004588A">
            <w:r w:rsidRPr="00496941">
              <w:t>£4000-£5000</w:t>
            </w:r>
          </w:p>
        </w:tc>
      </w:tr>
      <w:tr w:rsidR="009904E0" w:rsidRPr="00496941" w14:paraId="2B1B6146" w14:textId="77777777" w:rsidTr="009904E0">
        <w:trPr>
          <w:trHeight w:val="288"/>
        </w:trPr>
        <w:tc>
          <w:tcPr>
            <w:tcW w:w="4673" w:type="dxa"/>
            <w:shd w:val="clear" w:color="000000" w:fill="FFFFFF"/>
            <w:hideMark/>
          </w:tcPr>
          <w:p w14:paraId="7A73761F" w14:textId="77777777" w:rsidR="009904E0" w:rsidRPr="00496941" w:rsidRDefault="009904E0" w:rsidP="0004588A">
            <w:r w:rsidRPr="00496941">
              <w:t>Renaming of a Street - Staff Costs</w:t>
            </w:r>
          </w:p>
        </w:tc>
        <w:tc>
          <w:tcPr>
            <w:tcW w:w="1276" w:type="dxa"/>
            <w:shd w:val="clear" w:color="000000" w:fill="FFFFFF"/>
            <w:hideMark/>
          </w:tcPr>
          <w:p w14:paraId="3A87775D" w14:textId="77777777" w:rsidR="009904E0" w:rsidRPr="00496941" w:rsidRDefault="009904E0" w:rsidP="0004588A">
            <w:r w:rsidRPr="00496941">
              <w:t>£1,150.00</w:t>
            </w:r>
          </w:p>
        </w:tc>
        <w:tc>
          <w:tcPr>
            <w:tcW w:w="1276" w:type="dxa"/>
            <w:shd w:val="clear" w:color="000000" w:fill="FFFFFF"/>
            <w:hideMark/>
          </w:tcPr>
          <w:p w14:paraId="79FB02D3" w14:textId="77777777" w:rsidR="009904E0" w:rsidRPr="00496941" w:rsidRDefault="009904E0" w:rsidP="0004588A">
            <w:r w:rsidRPr="00496941">
              <w:t>£1,207.00</w:t>
            </w:r>
          </w:p>
        </w:tc>
        <w:tc>
          <w:tcPr>
            <w:tcW w:w="1417" w:type="dxa"/>
            <w:shd w:val="clear" w:color="auto" w:fill="auto"/>
            <w:noWrap/>
            <w:hideMark/>
          </w:tcPr>
          <w:p w14:paraId="2DA842E7" w14:textId="77777777" w:rsidR="009904E0" w:rsidRPr="00496941" w:rsidRDefault="009904E0" w:rsidP="0004588A">
            <w:r w:rsidRPr="00496941">
              <w:t>£1,500.00</w:t>
            </w:r>
          </w:p>
        </w:tc>
      </w:tr>
    </w:tbl>
    <w:p w14:paraId="546F8D99" w14:textId="77777777" w:rsidR="00176BE6" w:rsidRPr="00682C4E" w:rsidRDefault="00176BE6" w:rsidP="00682C4E">
      <w:pPr>
        <w:spacing w:before="100" w:beforeAutospacing="1" w:after="100" w:afterAutospacing="1" w:line="240" w:lineRule="auto"/>
        <w:rPr>
          <w:rFonts w:ascii="Times New Roman" w:eastAsia="Times New Roman" w:hAnsi="Times New Roman" w:cs="Times New Roman"/>
          <w:sz w:val="24"/>
          <w:szCs w:val="24"/>
          <w:lang w:val="en" w:eastAsia="en-GB"/>
        </w:rPr>
      </w:pPr>
    </w:p>
    <w:p w14:paraId="5698183F" w14:textId="77777777" w:rsidR="0034751F" w:rsidRDefault="00DF4344" w:rsidP="00DF4344">
      <w:pPr>
        <w:spacing w:before="100" w:beforeAutospacing="1" w:after="100" w:afterAutospacing="1" w:line="240" w:lineRule="auto"/>
      </w:pPr>
      <w:r>
        <w:rPr>
          <w:rFonts w:ascii="Times New Roman" w:eastAsia="Times New Roman" w:hAnsi="Times New Roman" w:cs="Times New Roman"/>
          <w:b/>
          <w:bCs/>
          <w:sz w:val="48"/>
          <w:szCs w:val="48"/>
          <w:lang w:val="en" w:eastAsia="en-GB"/>
        </w:rPr>
        <w:t>G</w:t>
      </w:r>
      <w:r w:rsidR="00682C4E" w:rsidRPr="00682C4E">
        <w:rPr>
          <w:rFonts w:ascii="Times New Roman" w:eastAsia="Times New Roman" w:hAnsi="Times New Roman" w:cs="Times New Roman"/>
          <w:b/>
          <w:bCs/>
          <w:sz w:val="48"/>
          <w:szCs w:val="48"/>
          <w:lang w:val="en" w:eastAsia="en-GB"/>
        </w:rPr>
        <w:t xml:space="preserve">ive Us Your Views </w:t>
      </w:r>
    </w:p>
    <w:sectPr w:rsidR="0034751F" w:rsidSect="00990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4E"/>
    <w:rsid w:val="0006392D"/>
    <w:rsid w:val="00176BE6"/>
    <w:rsid w:val="0034751F"/>
    <w:rsid w:val="005910F8"/>
    <w:rsid w:val="00682C4E"/>
    <w:rsid w:val="0070117C"/>
    <w:rsid w:val="00797748"/>
    <w:rsid w:val="009904E0"/>
    <w:rsid w:val="00DF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3E30"/>
  <w15:docId w15:val="{468AA8BB-A8D1-4E8D-A1CA-FEB34F03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C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2C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2C4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82C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onsultation-sidebar-primary-date1">
    <w:name w:val="cs-consultation-sidebar-primary-date1"/>
    <w:basedOn w:val="Normal"/>
    <w:rsid w:val="00682C4E"/>
    <w:pPr>
      <w:spacing w:before="100" w:beforeAutospacing="1" w:after="98" w:line="240" w:lineRule="auto"/>
    </w:pPr>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82C4E"/>
    <w:rPr>
      <w:b/>
      <w:bCs/>
    </w:rPr>
  </w:style>
  <w:style w:type="character" w:styleId="Emphasis">
    <w:name w:val="Emphasis"/>
    <w:basedOn w:val="DefaultParagraphFont"/>
    <w:uiPriority w:val="20"/>
    <w:qFormat/>
    <w:rsid w:val="00682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865060">
      <w:bodyDiv w:val="1"/>
      <w:marLeft w:val="0"/>
      <w:marRight w:val="0"/>
      <w:marTop w:val="0"/>
      <w:marBottom w:val="0"/>
      <w:divBdr>
        <w:top w:val="none" w:sz="0" w:space="0" w:color="auto"/>
        <w:left w:val="none" w:sz="0" w:space="0" w:color="auto"/>
        <w:bottom w:val="none" w:sz="0" w:space="0" w:color="auto"/>
        <w:right w:val="none" w:sz="0" w:space="0" w:color="auto"/>
      </w:divBdr>
      <w:divsChild>
        <w:div w:id="417093123">
          <w:marLeft w:val="0"/>
          <w:marRight w:val="0"/>
          <w:marTop w:val="0"/>
          <w:marBottom w:val="0"/>
          <w:divBdr>
            <w:top w:val="none" w:sz="0" w:space="0" w:color="auto"/>
            <w:left w:val="none" w:sz="0" w:space="0" w:color="auto"/>
            <w:bottom w:val="none" w:sz="0" w:space="0" w:color="auto"/>
            <w:right w:val="none" w:sz="0" w:space="0" w:color="auto"/>
          </w:divBdr>
          <w:divsChild>
            <w:div w:id="1582910473">
              <w:marLeft w:val="0"/>
              <w:marRight w:val="0"/>
              <w:marTop w:val="0"/>
              <w:marBottom w:val="0"/>
              <w:divBdr>
                <w:top w:val="none" w:sz="0" w:space="0" w:color="auto"/>
                <w:left w:val="none" w:sz="0" w:space="0" w:color="auto"/>
                <w:bottom w:val="none" w:sz="0" w:space="0" w:color="auto"/>
                <w:right w:val="none" w:sz="0" w:space="0" w:color="auto"/>
              </w:divBdr>
              <w:divsChild>
                <w:div w:id="654146304">
                  <w:marLeft w:val="0"/>
                  <w:marRight w:val="0"/>
                  <w:marTop w:val="0"/>
                  <w:marBottom w:val="0"/>
                  <w:divBdr>
                    <w:top w:val="none" w:sz="0" w:space="0" w:color="auto"/>
                    <w:left w:val="none" w:sz="0" w:space="0" w:color="auto"/>
                    <w:bottom w:val="none" w:sz="0" w:space="0" w:color="auto"/>
                    <w:right w:val="none" w:sz="0" w:space="0" w:color="auto"/>
                  </w:divBdr>
                  <w:divsChild>
                    <w:div w:id="1947885382">
                      <w:marLeft w:val="0"/>
                      <w:marRight w:val="0"/>
                      <w:marTop w:val="0"/>
                      <w:marBottom w:val="0"/>
                      <w:divBdr>
                        <w:top w:val="none" w:sz="0" w:space="0" w:color="auto"/>
                        <w:left w:val="none" w:sz="0" w:space="0" w:color="auto"/>
                        <w:bottom w:val="none" w:sz="0" w:space="0" w:color="auto"/>
                        <w:right w:val="none" w:sz="0" w:space="0" w:color="auto"/>
                      </w:divBdr>
                      <w:divsChild>
                        <w:div w:id="672488596">
                          <w:marLeft w:val="0"/>
                          <w:marRight w:val="0"/>
                          <w:marTop w:val="0"/>
                          <w:marBottom w:val="0"/>
                          <w:divBdr>
                            <w:top w:val="none" w:sz="0" w:space="0" w:color="auto"/>
                            <w:left w:val="none" w:sz="0" w:space="0" w:color="auto"/>
                            <w:bottom w:val="none" w:sz="0" w:space="0" w:color="auto"/>
                            <w:right w:val="none" w:sz="0" w:space="0" w:color="auto"/>
                          </w:divBdr>
                          <w:divsChild>
                            <w:div w:id="205143686">
                              <w:marLeft w:val="0"/>
                              <w:marRight w:val="0"/>
                              <w:marTop w:val="0"/>
                              <w:marBottom w:val="0"/>
                              <w:divBdr>
                                <w:top w:val="none" w:sz="0" w:space="0" w:color="auto"/>
                                <w:left w:val="none" w:sz="0" w:space="0" w:color="auto"/>
                                <w:bottom w:val="none" w:sz="0" w:space="0" w:color="auto"/>
                                <w:right w:val="none" w:sz="0" w:space="0" w:color="auto"/>
                              </w:divBdr>
                              <w:divsChild>
                                <w:div w:id="1212303532">
                                  <w:marLeft w:val="0"/>
                                  <w:marRight w:val="0"/>
                                  <w:marTop w:val="0"/>
                                  <w:marBottom w:val="0"/>
                                  <w:divBdr>
                                    <w:top w:val="none" w:sz="0" w:space="0" w:color="auto"/>
                                    <w:left w:val="none" w:sz="0" w:space="0" w:color="auto"/>
                                    <w:bottom w:val="none" w:sz="0" w:space="0" w:color="auto"/>
                                    <w:right w:val="none" w:sz="0" w:space="0" w:color="auto"/>
                                  </w:divBdr>
                                  <w:divsChild>
                                    <w:div w:id="506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350">
                          <w:marLeft w:val="0"/>
                          <w:marRight w:val="0"/>
                          <w:marTop w:val="0"/>
                          <w:marBottom w:val="0"/>
                          <w:divBdr>
                            <w:top w:val="none" w:sz="0" w:space="0" w:color="auto"/>
                            <w:left w:val="none" w:sz="0" w:space="0" w:color="auto"/>
                            <w:bottom w:val="none" w:sz="0" w:space="0" w:color="auto"/>
                            <w:right w:val="none" w:sz="0" w:space="0" w:color="auto"/>
                          </w:divBdr>
                          <w:divsChild>
                            <w:div w:id="1554393162">
                              <w:marLeft w:val="0"/>
                              <w:marRight w:val="0"/>
                              <w:marTop w:val="0"/>
                              <w:marBottom w:val="0"/>
                              <w:divBdr>
                                <w:top w:val="none" w:sz="0" w:space="0" w:color="auto"/>
                                <w:left w:val="none" w:sz="0" w:space="0" w:color="auto"/>
                                <w:bottom w:val="none" w:sz="0" w:space="0" w:color="auto"/>
                                <w:right w:val="none" w:sz="0" w:space="0" w:color="auto"/>
                              </w:divBdr>
                              <w:divsChild>
                                <w:div w:id="1472404397">
                                  <w:marLeft w:val="0"/>
                                  <w:marRight w:val="0"/>
                                  <w:marTop w:val="0"/>
                                  <w:marBottom w:val="0"/>
                                  <w:divBdr>
                                    <w:top w:val="none" w:sz="0" w:space="0" w:color="auto"/>
                                    <w:left w:val="none" w:sz="0" w:space="0" w:color="auto"/>
                                    <w:bottom w:val="none" w:sz="0" w:space="0" w:color="auto"/>
                                    <w:right w:val="none" w:sz="0" w:space="0" w:color="auto"/>
                                  </w:divBdr>
                                  <w:divsChild>
                                    <w:div w:id="118108655">
                                      <w:marLeft w:val="0"/>
                                      <w:marRight w:val="0"/>
                                      <w:marTop w:val="0"/>
                                      <w:marBottom w:val="0"/>
                                      <w:divBdr>
                                        <w:top w:val="none" w:sz="0" w:space="0" w:color="auto"/>
                                        <w:left w:val="none" w:sz="0" w:space="0" w:color="auto"/>
                                        <w:bottom w:val="none" w:sz="0" w:space="0" w:color="auto"/>
                                        <w:right w:val="none" w:sz="0" w:space="0" w:color="auto"/>
                                      </w:divBdr>
                                      <w:divsChild>
                                        <w:div w:id="109208216">
                                          <w:marLeft w:val="0"/>
                                          <w:marRight w:val="0"/>
                                          <w:marTop w:val="0"/>
                                          <w:marBottom w:val="0"/>
                                          <w:divBdr>
                                            <w:top w:val="none" w:sz="0" w:space="0" w:color="auto"/>
                                            <w:left w:val="none" w:sz="0" w:space="0" w:color="auto"/>
                                            <w:bottom w:val="none" w:sz="0" w:space="0" w:color="auto"/>
                                            <w:right w:val="none" w:sz="0" w:space="0" w:color="auto"/>
                                          </w:divBdr>
                                          <w:divsChild>
                                            <w:div w:id="1660957269">
                                              <w:marLeft w:val="0"/>
                                              <w:marRight w:val="0"/>
                                              <w:marTop w:val="0"/>
                                              <w:marBottom w:val="0"/>
                                              <w:divBdr>
                                                <w:top w:val="none" w:sz="0" w:space="0" w:color="auto"/>
                                                <w:left w:val="none" w:sz="0" w:space="0" w:color="auto"/>
                                                <w:bottom w:val="none" w:sz="0" w:space="0" w:color="auto"/>
                                                <w:right w:val="none" w:sz="0" w:space="0" w:color="auto"/>
                                              </w:divBdr>
                                              <w:divsChild>
                                                <w:div w:id="1010109053">
                                                  <w:marLeft w:val="0"/>
                                                  <w:marRight w:val="0"/>
                                                  <w:marTop w:val="0"/>
                                                  <w:marBottom w:val="0"/>
                                                  <w:divBdr>
                                                    <w:top w:val="none" w:sz="0" w:space="0" w:color="auto"/>
                                                    <w:left w:val="none" w:sz="0" w:space="0" w:color="auto"/>
                                                    <w:bottom w:val="none" w:sz="0" w:space="0" w:color="auto"/>
                                                    <w:right w:val="none" w:sz="0" w:space="0" w:color="auto"/>
                                                  </w:divBdr>
                                                  <w:divsChild>
                                                    <w:div w:id="1108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97">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1016618350">
                                      <w:marLeft w:val="0"/>
                                      <w:marRight w:val="0"/>
                                      <w:marTop w:val="0"/>
                                      <w:marBottom w:val="0"/>
                                      <w:divBdr>
                                        <w:top w:val="none" w:sz="0" w:space="0" w:color="auto"/>
                                        <w:left w:val="none" w:sz="0" w:space="0" w:color="auto"/>
                                        <w:bottom w:val="none" w:sz="0" w:space="0" w:color="auto"/>
                                        <w:right w:val="none" w:sz="0" w:space="0" w:color="auto"/>
                                      </w:divBdr>
                                      <w:divsChild>
                                        <w:div w:id="812139596">
                                          <w:marLeft w:val="0"/>
                                          <w:marRight w:val="0"/>
                                          <w:marTop w:val="0"/>
                                          <w:marBottom w:val="0"/>
                                          <w:divBdr>
                                            <w:top w:val="none" w:sz="0" w:space="0" w:color="auto"/>
                                            <w:left w:val="none" w:sz="0" w:space="0" w:color="auto"/>
                                            <w:bottom w:val="none" w:sz="0" w:space="0" w:color="auto"/>
                                            <w:right w:val="none" w:sz="0" w:space="0" w:color="auto"/>
                                          </w:divBdr>
                                          <w:divsChild>
                                            <w:div w:id="758411388">
                                              <w:marLeft w:val="0"/>
                                              <w:marRight w:val="0"/>
                                              <w:marTop w:val="0"/>
                                              <w:marBottom w:val="0"/>
                                              <w:divBdr>
                                                <w:top w:val="none" w:sz="0" w:space="0" w:color="auto"/>
                                                <w:left w:val="none" w:sz="0" w:space="0" w:color="auto"/>
                                                <w:bottom w:val="none" w:sz="0" w:space="0" w:color="auto"/>
                                                <w:right w:val="none" w:sz="0" w:space="0" w:color="auto"/>
                                              </w:divBdr>
                                            </w:div>
                                            <w:div w:id="2035570839">
                                              <w:marLeft w:val="0"/>
                                              <w:marRight w:val="0"/>
                                              <w:marTop w:val="600"/>
                                              <w:marBottom w:val="0"/>
                                              <w:divBdr>
                                                <w:top w:val="single" w:sz="48" w:space="24" w:color="179A9B"/>
                                                <w:left w:val="single" w:sz="48" w:space="24" w:color="179A9B"/>
                                                <w:bottom w:val="single" w:sz="48" w:space="24" w:color="179A9B"/>
                                                <w:right w:val="single" w:sz="48" w:space="24" w:color="179A9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4" ma:contentTypeDescription="Create a new document." ma:contentTypeScope="" ma:versionID="54a16fcafa42b7a8bbade075b21c4e77">
  <xsd:schema xmlns:xsd="http://www.w3.org/2001/XMLSchema" xmlns:xs="http://www.w3.org/2001/XMLSchema" xmlns:p="http://schemas.microsoft.com/office/2006/metadata/properties" xmlns:ns3="18d52200-c0d3-49d1-aefb-8e4a6e87486a" targetNamespace="http://schemas.microsoft.com/office/2006/metadata/properties" ma:root="true" ma:fieldsID="d2eead91768205071b276909910f6ea3"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D018B-D0E1-4873-9EBA-6D516F03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D1150-4460-483C-ABD3-DDF04B824C47}">
  <ds:schemaRefs>
    <ds:schemaRef ds:uri="http://schemas.microsoft.com/sharepoint/v3/contenttype/forms"/>
  </ds:schemaRefs>
</ds:datastoreItem>
</file>

<file path=customXml/itemProps3.xml><?xml version="1.0" encoding="utf-8"?>
<ds:datastoreItem xmlns:ds="http://schemas.openxmlformats.org/officeDocument/2006/customXml" ds:itemID="{9BAF5AF6-0D41-423E-B904-238D5ED3D9D2}">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18d52200-c0d3-49d1-aefb-8e4a6e8748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Richard Rees</cp:lastModifiedBy>
  <cp:revision>2</cp:revision>
  <dcterms:created xsi:type="dcterms:W3CDTF">2020-02-07T15:51:00Z</dcterms:created>
  <dcterms:modified xsi:type="dcterms:W3CDTF">2020-02-07T15:51:00Z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