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9AA40" w14:textId="77777777" w:rsidR="007829B0" w:rsidRDefault="00F91504" w:rsidP="00F6359D">
      <w:pPr>
        <w:ind w:left="3261"/>
        <w:rPr>
          <w:rFonts w:cs="Arial"/>
          <w:b/>
          <w:sz w:val="68"/>
          <w:szCs w:val="68"/>
        </w:rPr>
      </w:pPr>
      <w:r>
        <w:rPr>
          <w:rFonts w:cs="Arial"/>
          <w:b/>
          <w:sz w:val="68"/>
          <w:szCs w:val="68"/>
        </w:rPr>
        <w:t>Community Infrastructure Levy</w:t>
      </w:r>
    </w:p>
    <w:p w14:paraId="0A35406E" w14:textId="77777777" w:rsidR="00736A09" w:rsidRPr="00B92050" w:rsidRDefault="00736A09" w:rsidP="00F6359D">
      <w:pPr>
        <w:ind w:left="3261"/>
        <w:rPr>
          <w:rFonts w:cs="Arial"/>
          <w:b/>
          <w:sz w:val="68"/>
          <w:szCs w:val="68"/>
        </w:rPr>
      </w:pPr>
    </w:p>
    <w:p w14:paraId="37F57402" w14:textId="77777777" w:rsidR="00B92050" w:rsidRDefault="00B92050" w:rsidP="00F6359D">
      <w:pPr>
        <w:ind w:left="3261"/>
        <w:rPr>
          <w:rFonts w:cs="Arial"/>
        </w:rPr>
      </w:pPr>
    </w:p>
    <w:p w14:paraId="5E704578" w14:textId="08129001" w:rsidR="00B92050" w:rsidRDefault="00F91504" w:rsidP="00F6359D">
      <w:pPr>
        <w:ind w:left="3261"/>
        <w:rPr>
          <w:rFonts w:cs="Arial"/>
          <w:b/>
          <w:sz w:val="48"/>
          <w:szCs w:val="48"/>
        </w:rPr>
      </w:pPr>
      <w:r>
        <w:rPr>
          <w:rFonts w:cs="Arial"/>
          <w:b/>
          <w:sz w:val="48"/>
          <w:szCs w:val="48"/>
        </w:rPr>
        <w:t>Draft Charging Schedule 202</w:t>
      </w:r>
      <w:r w:rsidR="009E4403">
        <w:rPr>
          <w:rFonts w:cs="Arial"/>
          <w:b/>
          <w:sz w:val="48"/>
          <w:szCs w:val="48"/>
        </w:rPr>
        <w:t>2</w:t>
      </w:r>
    </w:p>
    <w:p w14:paraId="1425F725" w14:textId="77777777" w:rsidR="00736A09" w:rsidRDefault="00736A09" w:rsidP="00F6359D">
      <w:pPr>
        <w:ind w:left="3261"/>
        <w:rPr>
          <w:rFonts w:cs="Arial"/>
          <w:b/>
          <w:sz w:val="48"/>
          <w:szCs w:val="48"/>
        </w:rPr>
      </w:pPr>
    </w:p>
    <w:p w14:paraId="0F870529" w14:textId="77777777" w:rsidR="00736A09" w:rsidRDefault="00736A09" w:rsidP="00F6359D">
      <w:pPr>
        <w:ind w:left="3261"/>
        <w:rPr>
          <w:rFonts w:cs="Arial"/>
          <w:b/>
          <w:sz w:val="48"/>
          <w:szCs w:val="48"/>
        </w:rPr>
      </w:pPr>
    </w:p>
    <w:p w14:paraId="49DDAAA5" w14:textId="77777777" w:rsidR="00736A09" w:rsidRPr="00B92050" w:rsidRDefault="00736A09" w:rsidP="00F6359D">
      <w:pPr>
        <w:ind w:left="3261"/>
        <w:rPr>
          <w:rFonts w:cs="Arial"/>
          <w:b/>
          <w:sz w:val="48"/>
          <w:szCs w:val="48"/>
        </w:rPr>
      </w:pPr>
    </w:p>
    <w:p w14:paraId="57E850FC" w14:textId="7AAB790F" w:rsidR="00B92050" w:rsidRPr="00B92050" w:rsidRDefault="009E4403" w:rsidP="00F6359D">
      <w:pPr>
        <w:ind w:left="3261"/>
        <w:rPr>
          <w:rFonts w:cs="Arial"/>
          <w:sz w:val="28"/>
          <w:szCs w:val="28"/>
        </w:rPr>
      </w:pPr>
      <w:r>
        <w:rPr>
          <w:rFonts w:cs="Arial"/>
          <w:sz w:val="28"/>
          <w:szCs w:val="28"/>
        </w:rPr>
        <w:t>June 2022</w:t>
      </w:r>
    </w:p>
    <w:p w14:paraId="0677B39C" w14:textId="77777777" w:rsidR="007829B0" w:rsidRDefault="007829B0" w:rsidP="00F6359D">
      <w:pPr>
        <w:ind w:left="3261"/>
        <w:rPr>
          <w:rFonts w:cs="Arial"/>
        </w:rPr>
      </w:pPr>
    </w:p>
    <w:p w14:paraId="393215E7" w14:textId="77777777" w:rsidR="00B92050" w:rsidRDefault="00B92050" w:rsidP="00F6359D">
      <w:pPr>
        <w:ind w:left="3261"/>
        <w:rPr>
          <w:rFonts w:cs="Arial"/>
        </w:rPr>
      </w:pPr>
    </w:p>
    <w:p w14:paraId="517F1B87" w14:textId="77777777" w:rsidR="007829B0" w:rsidRDefault="007829B0" w:rsidP="00F6359D">
      <w:pPr>
        <w:ind w:left="3261"/>
        <w:rPr>
          <w:rFonts w:cs="Arial"/>
        </w:rPr>
      </w:pPr>
    </w:p>
    <w:p w14:paraId="144FF75E" w14:textId="77777777" w:rsidR="00D8478B" w:rsidRDefault="00D8478B">
      <w:pPr>
        <w:rPr>
          <w:rFonts w:cs="Arial"/>
        </w:rPr>
        <w:sectPr w:rsidR="00D8478B" w:rsidSect="00B62A7D">
          <w:footerReference w:type="default" r:id="rId7"/>
          <w:pgSz w:w="11906" w:h="16838"/>
          <w:pgMar w:top="3403" w:right="1440" w:bottom="1440" w:left="1440" w:header="708" w:footer="708" w:gutter="0"/>
          <w:cols w:space="708"/>
          <w:docGrid w:linePitch="360"/>
        </w:sectPr>
      </w:pPr>
    </w:p>
    <w:p w14:paraId="5AD18526" w14:textId="77777777" w:rsidR="00F91504" w:rsidRDefault="00F91504" w:rsidP="00F91504">
      <w:pPr>
        <w:rPr>
          <w:b/>
        </w:rPr>
      </w:pPr>
      <w:r>
        <w:rPr>
          <w:b/>
        </w:rPr>
        <w:lastRenderedPageBreak/>
        <w:t>Contact:</w:t>
      </w:r>
    </w:p>
    <w:p w14:paraId="32EDDEE5" w14:textId="77777777" w:rsidR="00F91504" w:rsidRPr="006C1E80" w:rsidRDefault="00F91504" w:rsidP="00F91504">
      <w:r w:rsidRPr="006C1E80">
        <w:t>Hayley</w:t>
      </w:r>
      <w:r>
        <w:t xml:space="preserve"> Claybrook</w:t>
      </w:r>
    </w:p>
    <w:p w14:paraId="6A8CB3BB" w14:textId="77777777" w:rsidR="00F91504" w:rsidRPr="006C1E80" w:rsidRDefault="00F91504" w:rsidP="00F91504">
      <w:r>
        <w:t>Inclusive Growth</w:t>
      </w:r>
    </w:p>
    <w:p w14:paraId="32D80425" w14:textId="77777777" w:rsidR="00F91504" w:rsidRPr="006C1E80" w:rsidRDefault="00F91504" w:rsidP="00F91504">
      <w:r w:rsidRPr="006C1E80">
        <w:t>Birmingham City Council</w:t>
      </w:r>
    </w:p>
    <w:p w14:paraId="2423D8E8" w14:textId="77777777" w:rsidR="00F91504" w:rsidRDefault="00F91504" w:rsidP="00F91504">
      <w:pPr>
        <w:rPr>
          <w:b/>
        </w:rPr>
      </w:pPr>
    </w:p>
    <w:p w14:paraId="0E45117A" w14:textId="77777777" w:rsidR="00F91504" w:rsidRDefault="00F91504" w:rsidP="00F91504">
      <w:pPr>
        <w:rPr>
          <w:b/>
        </w:rPr>
      </w:pPr>
    </w:p>
    <w:p w14:paraId="0ABC3CF5" w14:textId="77777777" w:rsidR="00F91504" w:rsidRDefault="00F91504" w:rsidP="00F91504">
      <w:pPr>
        <w:rPr>
          <w:b/>
        </w:rPr>
      </w:pPr>
      <w:r>
        <w:rPr>
          <w:b/>
        </w:rPr>
        <w:t>Click:</w:t>
      </w:r>
    </w:p>
    <w:p w14:paraId="727B28FD" w14:textId="77777777" w:rsidR="00F91504" w:rsidRPr="006C1E80" w:rsidRDefault="007271E8" w:rsidP="00F91504">
      <w:hyperlink r:id="rId8" w:history="1">
        <w:r w:rsidR="00F91504" w:rsidRPr="0044705E">
          <w:rPr>
            <w:rStyle w:val="Hyperlink"/>
          </w:rPr>
          <w:t>hayley.claybrook@birmingham.gov.uk</w:t>
        </w:r>
      </w:hyperlink>
    </w:p>
    <w:p w14:paraId="79E075A2" w14:textId="77777777" w:rsidR="00F91504" w:rsidRPr="006C1E80" w:rsidRDefault="007271E8" w:rsidP="00F91504">
      <w:hyperlink r:id="rId9" w:history="1">
        <w:r w:rsidR="00F91504" w:rsidRPr="006C1E80">
          <w:rPr>
            <w:rStyle w:val="Hyperlink"/>
          </w:rPr>
          <w:t>www.birmingham.gov.uk/cil</w:t>
        </w:r>
      </w:hyperlink>
    </w:p>
    <w:p w14:paraId="330DAE48" w14:textId="77777777" w:rsidR="00F91504" w:rsidRDefault="00F91504" w:rsidP="00F91504">
      <w:pPr>
        <w:rPr>
          <w:b/>
        </w:rPr>
      </w:pPr>
    </w:p>
    <w:p w14:paraId="2EE3BF52" w14:textId="77777777" w:rsidR="00F91504" w:rsidRDefault="00F91504" w:rsidP="00F91504">
      <w:pPr>
        <w:rPr>
          <w:b/>
        </w:rPr>
      </w:pPr>
    </w:p>
    <w:p w14:paraId="722F8B59" w14:textId="77777777" w:rsidR="00F91504" w:rsidRDefault="00F91504" w:rsidP="00F91504">
      <w:pPr>
        <w:rPr>
          <w:b/>
        </w:rPr>
      </w:pPr>
      <w:r>
        <w:rPr>
          <w:b/>
        </w:rPr>
        <w:t>Call:</w:t>
      </w:r>
    </w:p>
    <w:p w14:paraId="2501B804" w14:textId="77777777" w:rsidR="00F91504" w:rsidRPr="00F91504" w:rsidRDefault="00F91504" w:rsidP="00F91504">
      <w:pPr>
        <w:rPr>
          <w:rFonts w:cs="Arial"/>
          <w:noProof/>
          <w:color w:val="1F497D"/>
          <w:sz w:val="22"/>
          <w:szCs w:val="22"/>
          <w:lang w:eastAsia="en-GB"/>
        </w:rPr>
      </w:pPr>
      <w:r w:rsidRPr="00F91504">
        <w:rPr>
          <w:rFonts w:cs="Arial"/>
          <w:noProof/>
          <w:lang w:eastAsia="en-GB"/>
        </w:rPr>
        <w:t>07912 451258</w:t>
      </w:r>
    </w:p>
    <w:p w14:paraId="4DFD2D78" w14:textId="77777777" w:rsidR="00F91504" w:rsidRPr="006C1E80" w:rsidRDefault="00F91504" w:rsidP="00F91504">
      <w:pPr>
        <w:rPr>
          <w:bCs/>
        </w:rPr>
      </w:pPr>
    </w:p>
    <w:p w14:paraId="04C64165" w14:textId="77777777" w:rsidR="00F91504" w:rsidRDefault="00F91504" w:rsidP="00F91504">
      <w:pPr>
        <w:rPr>
          <w:b/>
          <w:bCs/>
        </w:rPr>
      </w:pPr>
      <w:r>
        <w:rPr>
          <w:b/>
          <w:bCs/>
        </w:rPr>
        <w:t>Post:</w:t>
      </w:r>
    </w:p>
    <w:p w14:paraId="44C76947" w14:textId="77777777" w:rsidR="00F91504" w:rsidRPr="006C1E80" w:rsidRDefault="00F91504" w:rsidP="00F91504">
      <w:pPr>
        <w:rPr>
          <w:bCs/>
        </w:rPr>
      </w:pPr>
      <w:r w:rsidRPr="006C1E80">
        <w:rPr>
          <w:bCs/>
        </w:rPr>
        <w:t>PO Box 28</w:t>
      </w:r>
    </w:p>
    <w:p w14:paraId="311E9B5D" w14:textId="77777777" w:rsidR="00F91504" w:rsidRPr="006C1E80" w:rsidRDefault="00F91504" w:rsidP="00F91504">
      <w:pPr>
        <w:rPr>
          <w:bCs/>
        </w:rPr>
      </w:pPr>
      <w:r w:rsidRPr="006C1E80">
        <w:rPr>
          <w:bCs/>
        </w:rPr>
        <w:t>Birmingham</w:t>
      </w:r>
    </w:p>
    <w:p w14:paraId="7E3B1F11" w14:textId="77777777" w:rsidR="00F91504" w:rsidRPr="006C1E80" w:rsidRDefault="00F91504" w:rsidP="00F91504">
      <w:pPr>
        <w:rPr>
          <w:bCs/>
        </w:rPr>
      </w:pPr>
      <w:r w:rsidRPr="006C1E80">
        <w:rPr>
          <w:bCs/>
        </w:rPr>
        <w:t>B</w:t>
      </w:r>
      <w:proofErr w:type="gramStart"/>
      <w:r w:rsidRPr="006C1E80">
        <w:rPr>
          <w:bCs/>
        </w:rPr>
        <w:t>1  1</w:t>
      </w:r>
      <w:proofErr w:type="gramEnd"/>
      <w:r w:rsidRPr="006C1E80">
        <w:rPr>
          <w:bCs/>
        </w:rPr>
        <w:t>TU</w:t>
      </w:r>
    </w:p>
    <w:p w14:paraId="3D23B8AD" w14:textId="77777777" w:rsidR="00F91504" w:rsidRPr="006C1E80" w:rsidRDefault="00F91504" w:rsidP="00F91504">
      <w:pPr>
        <w:rPr>
          <w:bCs/>
        </w:rPr>
      </w:pPr>
    </w:p>
    <w:p w14:paraId="1E709519" w14:textId="77777777" w:rsidR="00F91504" w:rsidRPr="006C1E80" w:rsidRDefault="00F91504" w:rsidP="00F91504">
      <w:pPr>
        <w:rPr>
          <w:bCs/>
        </w:rPr>
      </w:pPr>
    </w:p>
    <w:p w14:paraId="6014A829" w14:textId="77777777" w:rsidR="00F91504" w:rsidRPr="007B11B7" w:rsidRDefault="00F91504" w:rsidP="00F91504">
      <w:pPr>
        <w:rPr>
          <w:bCs/>
          <w:sz w:val="36"/>
          <w:szCs w:val="36"/>
        </w:rPr>
      </w:pPr>
      <w:r w:rsidRPr="007B11B7">
        <w:rPr>
          <w:bCs/>
          <w:sz w:val="36"/>
          <w:szCs w:val="36"/>
        </w:rPr>
        <w:t>You can ask for a copy of this document in large print, another format or another language. We aim to supply what you need within ten working days.</w:t>
      </w:r>
    </w:p>
    <w:p w14:paraId="1384230F" w14:textId="77777777" w:rsidR="00F91504" w:rsidRPr="007B11B7" w:rsidRDefault="00F91504" w:rsidP="00F91504">
      <w:pPr>
        <w:rPr>
          <w:bCs/>
          <w:sz w:val="36"/>
          <w:szCs w:val="36"/>
        </w:rPr>
      </w:pPr>
    </w:p>
    <w:p w14:paraId="4F41BB15" w14:textId="77777777" w:rsidR="00F91504" w:rsidRPr="007B11B7" w:rsidRDefault="00F91504" w:rsidP="00F91504">
      <w:pPr>
        <w:rPr>
          <w:bCs/>
          <w:sz w:val="36"/>
          <w:szCs w:val="36"/>
        </w:rPr>
      </w:pPr>
      <w:r w:rsidRPr="007B11B7">
        <w:rPr>
          <w:bCs/>
          <w:sz w:val="36"/>
          <w:szCs w:val="36"/>
        </w:rPr>
        <w:t xml:space="preserve">Call </w:t>
      </w:r>
      <w:r>
        <w:rPr>
          <w:bCs/>
          <w:sz w:val="36"/>
          <w:szCs w:val="36"/>
        </w:rPr>
        <w:t>07912 451258</w:t>
      </w:r>
    </w:p>
    <w:p w14:paraId="27B2FD28" w14:textId="77777777" w:rsidR="00F91504" w:rsidRPr="007B11B7" w:rsidRDefault="00F91504" w:rsidP="00F91504">
      <w:pPr>
        <w:rPr>
          <w:bCs/>
          <w:sz w:val="36"/>
          <w:szCs w:val="36"/>
        </w:rPr>
      </w:pPr>
    </w:p>
    <w:p w14:paraId="18A6A9EC" w14:textId="77777777" w:rsidR="00F91504" w:rsidRDefault="00F91504" w:rsidP="00F91504">
      <w:pPr>
        <w:rPr>
          <w:bCs/>
          <w:sz w:val="36"/>
          <w:szCs w:val="36"/>
        </w:rPr>
      </w:pPr>
      <w:r w:rsidRPr="007B11B7">
        <w:rPr>
          <w:bCs/>
          <w:sz w:val="36"/>
          <w:szCs w:val="36"/>
        </w:rPr>
        <w:t xml:space="preserve">If you have hearing </w:t>
      </w:r>
      <w:proofErr w:type="gramStart"/>
      <w:r w:rsidRPr="007B11B7">
        <w:rPr>
          <w:bCs/>
          <w:sz w:val="36"/>
          <w:szCs w:val="36"/>
        </w:rPr>
        <w:t>difficulties</w:t>
      </w:r>
      <w:proofErr w:type="gramEnd"/>
      <w:r w:rsidRPr="007B11B7">
        <w:rPr>
          <w:bCs/>
          <w:sz w:val="36"/>
          <w:szCs w:val="36"/>
        </w:rPr>
        <w:t xml:space="preserve"> please call us via </w:t>
      </w:r>
      <w:proofErr w:type="spellStart"/>
      <w:r w:rsidRPr="007B11B7">
        <w:rPr>
          <w:bCs/>
          <w:sz w:val="36"/>
          <w:szCs w:val="36"/>
        </w:rPr>
        <w:t>Typetalk</w:t>
      </w:r>
      <w:proofErr w:type="spellEnd"/>
      <w:r w:rsidRPr="007B11B7">
        <w:rPr>
          <w:bCs/>
          <w:sz w:val="36"/>
          <w:szCs w:val="36"/>
        </w:rPr>
        <w:t xml:space="preserve"> 18001 </w:t>
      </w:r>
      <w:r>
        <w:rPr>
          <w:bCs/>
          <w:sz w:val="36"/>
          <w:szCs w:val="36"/>
        </w:rPr>
        <w:t>07912 451258</w:t>
      </w:r>
      <w:r w:rsidRPr="007B11B7">
        <w:rPr>
          <w:bCs/>
          <w:sz w:val="36"/>
          <w:szCs w:val="36"/>
        </w:rPr>
        <w:t xml:space="preserve"> or email us at the address above.</w:t>
      </w:r>
    </w:p>
    <w:p w14:paraId="4CD173A9" w14:textId="77777777" w:rsidR="00F91504" w:rsidRDefault="00F91504" w:rsidP="00F91504">
      <w:pPr>
        <w:rPr>
          <w:bCs/>
          <w:sz w:val="36"/>
          <w:szCs w:val="36"/>
        </w:rPr>
      </w:pPr>
    </w:p>
    <w:p w14:paraId="1A4F0BB0" w14:textId="77777777" w:rsidR="00F91504" w:rsidRDefault="00F91504" w:rsidP="00F91504">
      <w:pPr>
        <w:rPr>
          <w:bCs/>
        </w:rPr>
      </w:pPr>
      <w:r>
        <w:rPr>
          <w:bCs/>
        </w:rPr>
        <w:t>Plans contained within this document are based upon Ordnance Survey material with the permission of Ordnance Survey on behalf of the Controller of Her Majesty’s Stationery Office.</w:t>
      </w:r>
    </w:p>
    <w:p w14:paraId="65802AFD" w14:textId="77777777" w:rsidR="00F91504" w:rsidRDefault="00F91504" w:rsidP="00F91504">
      <w:pPr>
        <w:rPr>
          <w:bCs/>
        </w:rPr>
      </w:pPr>
    </w:p>
    <w:p w14:paraId="00FE13C4" w14:textId="77777777" w:rsidR="00F91504" w:rsidRDefault="00F91504" w:rsidP="00F91504">
      <w:pPr>
        <w:rPr>
          <w:bCs/>
        </w:rPr>
      </w:pPr>
      <w:r>
        <w:rPr>
          <w:bCs/>
        </w:rPr>
        <w:t>© Crown Copyright. Unauthorised reproduction infringes Crown Copyright and may lead to prosecution or civil proceedings.</w:t>
      </w:r>
    </w:p>
    <w:p w14:paraId="2E48F03D" w14:textId="3BEFCE60" w:rsidR="00F91504" w:rsidRDefault="00F91504" w:rsidP="00F91504">
      <w:pPr>
        <w:rPr>
          <w:bCs/>
        </w:rPr>
      </w:pPr>
      <w:r>
        <w:rPr>
          <w:bCs/>
        </w:rPr>
        <w:t>Birmingham City Council. Licence number 100021326, 2013</w:t>
      </w:r>
    </w:p>
    <w:p w14:paraId="79CD1DCD" w14:textId="4CFD3503" w:rsidR="004D528B" w:rsidRDefault="004D528B" w:rsidP="00F91504">
      <w:pPr>
        <w:rPr>
          <w:bCs/>
        </w:rPr>
      </w:pPr>
    </w:p>
    <w:p w14:paraId="28E79187" w14:textId="56C6AEED" w:rsidR="004D528B" w:rsidRDefault="004D528B" w:rsidP="00F91504">
      <w:pPr>
        <w:rPr>
          <w:bCs/>
        </w:rPr>
      </w:pPr>
    </w:p>
    <w:p w14:paraId="1F318D7F" w14:textId="4B0DFAFB" w:rsidR="004D528B" w:rsidRDefault="004D528B" w:rsidP="00F91504">
      <w:pPr>
        <w:rPr>
          <w:bCs/>
        </w:rPr>
      </w:pPr>
    </w:p>
    <w:p w14:paraId="726251B6" w14:textId="40E5ADDA" w:rsidR="004D528B" w:rsidRDefault="004D528B" w:rsidP="00F91504">
      <w:pPr>
        <w:rPr>
          <w:bCs/>
        </w:rPr>
      </w:pPr>
    </w:p>
    <w:p w14:paraId="464B4C0D" w14:textId="51B16FFB" w:rsidR="004D528B" w:rsidRDefault="004D528B" w:rsidP="00F91504">
      <w:pPr>
        <w:rPr>
          <w:bCs/>
        </w:rPr>
      </w:pPr>
    </w:p>
    <w:p w14:paraId="1F21C12F" w14:textId="6CFCE91C" w:rsidR="004D528B" w:rsidRDefault="004D528B" w:rsidP="00F91504">
      <w:pPr>
        <w:rPr>
          <w:bCs/>
        </w:rPr>
      </w:pPr>
    </w:p>
    <w:p w14:paraId="3D87CA7D" w14:textId="1D6FE5DE" w:rsidR="004D528B" w:rsidRDefault="004D528B" w:rsidP="00F91504">
      <w:pPr>
        <w:rPr>
          <w:bCs/>
        </w:rPr>
      </w:pPr>
    </w:p>
    <w:p w14:paraId="68D241EC" w14:textId="6537F77D" w:rsidR="004D528B" w:rsidRDefault="004D528B" w:rsidP="00F91504">
      <w:pPr>
        <w:rPr>
          <w:bCs/>
        </w:rPr>
      </w:pPr>
    </w:p>
    <w:p w14:paraId="4DD7CE90" w14:textId="77777777" w:rsidR="004D528B" w:rsidRPr="004D528B" w:rsidRDefault="004D528B" w:rsidP="004D528B">
      <w:pPr>
        <w:rPr>
          <w:b/>
          <w:bCs/>
        </w:rPr>
      </w:pPr>
      <w:r w:rsidRPr="004D528B">
        <w:rPr>
          <w:b/>
          <w:bCs/>
        </w:rPr>
        <w:lastRenderedPageBreak/>
        <w:t>1.0 What is the Community Infrastructure Levy?</w:t>
      </w:r>
    </w:p>
    <w:p w14:paraId="6B1C53F6" w14:textId="77777777" w:rsidR="004D528B" w:rsidRDefault="004D528B" w:rsidP="004D528B"/>
    <w:p w14:paraId="6A7B61BD" w14:textId="77777777" w:rsidR="004D528B" w:rsidRDefault="004D528B" w:rsidP="004D528B">
      <w:r>
        <w:t xml:space="preserve">The Community Infrastructure Levy (CIL) is a charge which can be levied by local authorities on new development in their area. It is an important mechanism to ensure certain types of new development contribute to the infrastructure needed to support that development. </w:t>
      </w:r>
    </w:p>
    <w:p w14:paraId="2946A093" w14:textId="77777777" w:rsidR="004D528B" w:rsidRDefault="004D528B" w:rsidP="004D528B"/>
    <w:p w14:paraId="38CDE28E" w14:textId="77A00B45" w:rsidR="004D528B" w:rsidRDefault="004D528B" w:rsidP="004D528B">
      <w:r>
        <w:t xml:space="preserve">This infrastructure will support the growth aspirations for Birmingham as outlined in the Birmingham Development Plan which includes proposals for over 50,000 new homes and 100,000 new jobs (adopted 10 January 2017). </w:t>
      </w:r>
    </w:p>
    <w:p w14:paraId="4D792180" w14:textId="77777777" w:rsidR="004D528B" w:rsidRDefault="004D528B" w:rsidP="004D528B"/>
    <w:p w14:paraId="40753C85" w14:textId="77777777" w:rsidR="004D528B" w:rsidRDefault="004D528B" w:rsidP="004D528B">
      <w:r>
        <w:t xml:space="preserve">The charge provides a greater level of certainty for developers and </w:t>
      </w:r>
      <w:proofErr w:type="gramStart"/>
      <w:r>
        <w:t>land owners</w:t>
      </w:r>
      <w:proofErr w:type="gramEnd"/>
      <w:r>
        <w:t xml:space="preserve"> regarding their contributions and will be charged per net square metre of new development. </w:t>
      </w:r>
    </w:p>
    <w:p w14:paraId="3FBED9D2" w14:textId="77777777" w:rsidR="004D528B" w:rsidRDefault="004D528B" w:rsidP="004D528B"/>
    <w:p w14:paraId="3B070304" w14:textId="7B906B0B" w:rsidR="004D528B" w:rsidRDefault="004D528B" w:rsidP="004D528B">
      <w:r>
        <w:t>Whilst most new developments of over 100sqm may be liable for the levy, further explanation regarding calculating the levy or exemptions is contained within this document</w:t>
      </w:r>
      <w:r w:rsidR="009E4403">
        <w:t xml:space="preserve"> or is available </w:t>
      </w:r>
      <w:proofErr w:type="gramStart"/>
      <w:r w:rsidR="009E4403">
        <w:t>on line</w:t>
      </w:r>
      <w:proofErr w:type="gramEnd"/>
      <w:r w:rsidR="009E4403">
        <w:t xml:space="preserve"> (</w:t>
      </w:r>
      <w:r w:rsidR="009E4403" w:rsidRPr="009E4403">
        <w:t>https://www.gov.uk/guidance/community-infrastructure-levy</w:t>
      </w:r>
      <w:r w:rsidR="009E4403">
        <w:t>)</w:t>
      </w:r>
    </w:p>
    <w:p w14:paraId="16FAE60F" w14:textId="32588F16" w:rsidR="004D528B" w:rsidRDefault="004D528B" w:rsidP="004D528B"/>
    <w:p w14:paraId="23A5090E" w14:textId="3F66A532" w:rsidR="004D528B" w:rsidRPr="004D528B" w:rsidRDefault="004D528B" w:rsidP="004D528B">
      <w:pPr>
        <w:rPr>
          <w:b/>
          <w:bCs/>
        </w:rPr>
      </w:pPr>
      <w:r w:rsidRPr="004D528B">
        <w:rPr>
          <w:b/>
          <w:bCs/>
        </w:rPr>
        <w:t xml:space="preserve">2.0 </w:t>
      </w:r>
      <w:r w:rsidR="003E156F">
        <w:rPr>
          <w:b/>
          <w:bCs/>
        </w:rPr>
        <w:t xml:space="preserve">2016 </w:t>
      </w:r>
      <w:r w:rsidRPr="004D528B">
        <w:rPr>
          <w:b/>
          <w:bCs/>
        </w:rPr>
        <w:t xml:space="preserve">CIL </w:t>
      </w:r>
      <w:r w:rsidR="00BD4E8C">
        <w:rPr>
          <w:b/>
          <w:bCs/>
        </w:rPr>
        <w:t>Charging Sc</w:t>
      </w:r>
      <w:r w:rsidR="00602307">
        <w:rPr>
          <w:b/>
          <w:bCs/>
        </w:rPr>
        <w:t>hedule</w:t>
      </w:r>
    </w:p>
    <w:p w14:paraId="0D59335C" w14:textId="77777777" w:rsidR="004D528B" w:rsidRDefault="004D528B" w:rsidP="004D528B"/>
    <w:p w14:paraId="1D1F51B7" w14:textId="7CEC6B2E" w:rsidR="004D528B" w:rsidRPr="00BD4E8C" w:rsidRDefault="00BD4E8C" w:rsidP="00BD4E8C">
      <w:r>
        <w:t xml:space="preserve">When we adopted a CIL in 2016, we needed to bring together </w:t>
      </w:r>
      <w:r w:rsidR="004D528B">
        <w:t>“relevant evidence” which sho</w:t>
      </w:r>
      <w:r>
        <w:t xml:space="preserve">wed </w:t>
      </w:r>
      <w:r w:rsidR="004D528B">
        <w:t xml:space="preserve">our aspirations for growth, the infrastructure needed to support that growth and its cost. These documents are available on our website at </w:t>
      </w:r>
      <w:hyperlink r:id="rId10" w:history="1">
        <w:r w:rsidRPr="00EA4820">
          <w:rPr>
            <w:rStyle w:val="Hyperlink"/>
          </w:rPr>
          <w:t>www.birmingham.gov.uk/cil</w:t>
        </w:r>
      </w:hyperlink>
      <w:r>
        <w:t xml:space="preserve"> </w:t>
      </w:r>
      <w:r w:rsidR="004D528B">
        <w:t xml:space="preserve">and </w:t>
      </w:r>
      <w:hyperlink r:id="rId11" w:history="1">
        <w:r w:rsidRPr="00EA4820">
          <w:rPr>
            <w:rStyle w:val="Hyperlink"/>
          </w:rPr>
          <w:t>www.birmingham.gov.uk/plan2031/evidencebase</w:t>
        </w:r>
      </w:hyperlink>
      <w:r>
        <w:t xml:space="preserve">. </w:t>
      </w:r>
    </w:p>
    <w:p w14:paraId="558EA8D4" w14:textId="77777777" w:rsidR="004D528B" w:rsidRPr="003E156F" w:rsidRDefault="004D528B" w:rsidP="004D528B">
      <w:pPr>
        <w:rPr>
          <w:b/>
          <w:bCs/>
        </w:rPr>
      </w:pPr>
    </w:p>
    <w:p w14:paraId="0A761D55" w14:textId="0C36BF11" w:rsidR="004D528B" w:rsidRDefault="00BD4E8C" w:rsidP="004D528B">
      <w:pPr>
        <w:rPr>
          <w:b/>
          <w:bCs/>
        </w:rPr>
      </w:pPr>
      <w:r w:rsidRPr="003E156F">
        <w:rPr>
          <w:b/>
          <w:bCs/>
        </w:rPr>
        <w:t xml:space="preserve">3.0 </w:t>
      </w:r>
      <w:r w:rsidR="003E156F">
        <w:rPr>
          <w:b/>
          <w:bCs/>
        </w:rPr>
        <w:t>2022 CIL Charging Schedule</w:t>
      </w:r>
    </w:p>
    <w:p w14:paraId="2B4CB96E" w14:textId="39728B07" w:rsidR="003E156F" w:rsidRDefault="003E156F" w:rsidP="004D528B">
      <w:pPr>
        <w:rPr>
          <w:b/>
          <w:bCs/>
        </w:rPr>
      </w:pPr>
    </w:p>
    <w:p w14:paraId="7A4C4BC1" w14:textId="41C7698B" w:rsidR="003E156F" w:rsidRDefault="003E156F" w:rsidP="004D528B">
      <w:r>
        <w:t>The adopted CIL rates have been in place since January 2016 and there has been no demonstrable adverse impact on the supply of development land or the viability of developments coming forward across the city. Since the evidence base for the adopted CIL was prepared, there have been changes to sales values and build costs, and we are taking this opportunity to review our CIL charges.</w:t>
      </w:r>
    </w:p>
    <w:p w14:paraId="1A28CD1E" w14:textId="2A51C6A6" w:rsidR="00955A0F" w:rsidRDefault="00955A0F" w:rsidP="004D528B"/>
    <w:p w14:paraId="1E3EA47A" w14:textId="07E2ACF6" w:rsidR="00955A0F" w:rsidRDefault="00955A0F" w:rsidP="004D528B">
      <w:pPr>
        <w:rPr>
          <w:color w:val="FF0000"/>
        </w:rPr>
      </w:pPr>
      <w:r>
        <w:t>The relevant evidence to support the</w:t>
      </w:r>
      <w:r w:rsidR="00BC5289">
        <w:t xml:space="preserve"> proposed </w:t>
      </w:r>
      <w:r>
        <w:t>2022 Charging Schedule can be found</w:t>
      </w:r>
      <w:r w:rsidRPr="005F3F12">
        <w:t xml:space="preserve"> here</w:t>
      </w:r>
      <w:r w:rsidR="005F3F12" w:rsidRPr="005F3F12">
        <w:t xml:space="preserve">: </w:t>
      </w:r>
      <w:hyperlink r:id="rId12" w:history="1">
        <w:r w:rsidR="005F3F12" w:rsidRPr="009A3EF7">
          <w:rPr>
            <w:rStyle w:val="Hyperlink"/>
          </w:rPr>
          <w:t>https://www.birmingham.gov.uk/info/20181/planning_obligations/62/community_infrastructure_levy_cil</w:t>
        </w:r>
      </w:hyperlink>
    </w:p>
    <w:p w14:paraId="7C05ABBD" w14:textId="77777777" w:rsidR="005F3F12" w:rsidRDefault="005F3F12" w:rsidP="004D528B">
      <w:pPr>
        <w:rPr>
          <w:color w:val="FF0000"/>
        </w:rPr>
      </w:pPr>
    </w:p>
    <w:p w14:paraId="6150BFEB" w14:textId="71DF9194" w:rsidR="00BC5289" w:rsidRDefault="00BC5289" w:rsidP="004D528B">
      <w:pPr>
        <w:rPr>
          <w:color w:val="FF0000"/>
        </w:rPr>
      </w:pPr>
    </w:p>
    <w:p w14:paraId="28E0DA98" w14:textId="552ECE90" w:rsidR="00BC5289" w:rsidRDefault="00BC5289" w:rsidP="004D528B">
      <w:pPr>
        <w:rPr>
          <w:color w:val="FF0000"/>
        </w:rPr>
      </w:pPr>
    </w:p>
    <w:p w14:paraId="7FB73FE1" w14:textId="341A8536" w:rsidR="00BC5289" w:rsidRDefault="00BC5289" w:rsidP="004D528B">
      <w:pPr>
        <w:rPr>
          <w:color w:val="FF0000"/>
        </w:rPr>
      </w:pPr>
    </w:p>
    <w:p w14:paraId="787546CD" w14:textId="462A0CAD" w:rsidR="00BC5289" w:rsidRDefault="00BC5289" w:rsidP="004D528B">
      <w:pPr>
        <w:rPr>
          <w:color w:val="FF0000"/>
        </w:rPr>
      </w:pPr>
    </w:p>
    <w:p w14:paraId="56351965" w14:textId="4E1C1BA5" w:rsidR="00BC5289" w:rsidRDefault="00BC5289" w:rsidP="004D528B">
      <w:pPr>
        <w:rPr>
          <w:color w:val="FF0000"/>
        </w:rPr>
      </w:pPr>
    </w:p>
    <w:p w14:paraId="275D6E9F" w14:textId="46698FE5" w:rsidR="00BC5289" w:rsidRDefault="00BC5289" w:rsidP="004D528B">
      <w:pPr>
        <w:rPr>
          <w:color w:val="FF0000"/>
        </w:rPr>
      </w:pPr>
    </w:p>
    <w:p w14:paraId="5AC21EA1" w14:textId="641DE98B" w:rsidR="00BC5289" w:rsidRDefault="00BC5289" w:rsidP="004D528B">
      <w:pPr>
        <w:rPr>
          <w:color w:val="FF0000"/>
        </w:rPr>
      </w:pPr>
    </w:p>
    <w:p w14:paraId="6A955847" w14:textId="7E689360" w:rsidR="00BC5289" w:rsidRDefault="00BC5289" w:rsidP="004D528B">
      <w:pPr>
        <w:rPr>
          <w:color w:val="FF0000"/>
        </w:rPr>
      </w:pPr>
    </w:p>
    <w:p w14:paraId="0CEAC62F" w14:textId="25C1B9BD" w:rsidR="00BC5289" w:rsidRDefault="00BC5289" w:rsidP="004D528B">
      <w:pPr>
        <w:rPr>
          <w:color w:val="FF0000"/>
        </w:rPr>
      </w:pPr>
    </w:p>
    <w:p w14:paraId="13FF5823" w14:textId="45E4ED56" w:rsidR="00BC5289" w:rsidRDefault="00BC5289" w:rsidP="004D528B">
      <w:pPr>
        <w:rPr>
          <w:color w:val="FF0000"/>
        </w:rPr>
      </w:pPr>
    </w:p>
    <w:p w14:paraId="471701E9" w14:textId="5A971F16" w:rsidR="00955A0F" w:rsidRPr="0080444C" w:rsidRDefault="00955A0F" w:rsidP="00955A0F">
      <w:pPr>
        <w:rPr>
          <w:b/>
          <w:bCs/>
        </w:rPr>
      </w:pPr>
      <w:r w:rsidRPr="0080444C">
        <w:rPr>
          <w:b/>
          <w:bCs/>
        </w:rPr>
        <w:lastRenderedPageBreak/>
        <w:t xml:space="preserve">5.0 </w:t>
      </w:r>
      <w:r w:rsidR="0080444C" w:rsidRPr="0080444C">
        <w:rPr>
          <w:b/>
          <w:bCs/>
        </w:rPr>
        <w:t>2022 CIL Charges</w:t>
      </w:r>
    </w:p>
    <w:p w14:paraId="77321079" w14:textId="77777777" w:rsidR="00955A0F" w:rsidRPr="003E156F" w:rsidRDefault="00955A0F" w:rsidP="004D528B"/>
    <w:p w14:paraId="2D298B0D" w14:textId="77777777" w:rsidR="0080444C" w:rsidRDefault="0080444C" w:rsidP="0080444C"/>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4175"/>
        <w:gridCol w:w="1382"/>
      </w:tblGrid>
      <w:tr w:rsidR="0080444C" w:rsidRPr="002C6724" w14:paraId="38BD621B" w14:textId="77777777" w:rsidTr="0080444C">
        <w:trPr>
          <w:trHeight w:val="775"/>
          <w:jc w:val="center"/>
        </w:trPr>
        <w:tc>
          <w:tcPr>
            <w:tcW w:w="2203" w:type="dxa"/>
            <w:shd w:val="clear" w:color="auto" w:fill="auto"/>
          </w:tcPr>
          <w:p w14:paraId="2DC83DED" w14:textId="77777777" w:rsidR="0080444C" w:rsidRPr="002C6724" w:rsidRDefault="0080444C" w:rsidP="005C302A">
            <w:pPr>
              <w:jc w:val="center"/>
              <w:rPr>
                <w:rFonts w:eastAsia="Times New Roman" w:cs="Arial"/>
                <w:b/>
                <w:bCs/>
              </w:rPr>
            </w:pPr>
            <w:r w:rsidRPr="002C6724">
              <w:rPr>
                <w:rFonts w:eastAsia="Times New Roman" w:cs="Arial"/>
                <w:b/>
                <w:bCs/>
              </w:rPr>
              <w:t>Development Type</w:t>
            </w:r>
          </w:p>
        </w:tc>
        <w:tc>
          <w:tcPr>
            <w:tcW w:w="4175" w:type="dxa"/>
            <w:shd w:val="clear" w:color="auto" w:fill="auto"/>
          </w:tcPr>
          <w:p w14:paraId="75FC7C85" w14:textId="77777777" w:rsidR="0080444C" w:rsidRPr="001C2097" w:rsidRDefault="0080444C" w:rsidP="005C302A">
            <w:pPr>
              <w:jc w:val="center"/>
              <w:rPr>
                <w:rFonts w:eastAsia="Times New Roman" w:cs="Arial"/>
                <w:b/>
                <w:bCs/>
              </w:rPr>
            </w:pPr>
            <w:r w:rsidRPr="001C2097">
              <w:rPr>
                <w:rFonts w:eastAsia="Times New Roman" w:cs="Arial"/>
                <w:b/>
                <w:bCs/>
              </w:rPr>
              <w:t>Detail</w:t>
            </w:r>
          </w:p>
        </w:tc>
        <w:tc>
          <w:tcPr>
            <w:tcW w:w="1382" w:type="dxa"/>
          </w:tcPr>
          <w:p w14:paraId="1AEAB20D" w14:textId="2244524D" w:rsidR="0080444C" w:rsidRPr="001C2097" w:rsidRDefault="0080444C" w:rsidP="005C302A">
            <w:pPr>
              <w:jc w:val="center"/>
              <w:rPr>
                <w:rFonts w:eastAsia="Times New Roman" w:cs="Arial"/>
                <w:b/>
                <w:bCs/>
              </w:rPr>
            </w:pPr>
            <w:r w:rsidRPr="001C2097">
              <w:rPr>
                <w:rFonts w:eastAsia="Times New Roman" w:cs="Arial"/>
                <w:b/>
                <w:bCs/>
              </w:rPr>
              <w:t xml:space="preserve">Charge per </w:t>
            </w:r>
            <w:proofErr w:type="spellStart"/>
            <w:r w:rsidRPr="001C2097">
              <w:rPr>
                <w:rFonts w:eastAsia="Times New Roman" w:cs="Arial"/>
                <w:b/>
                <w:bCs/>
              </w:rPr>
              <w:t>sq.m</w:t>
            </w:r>
            <w:proofErr w:type="spellEnd"/>
            <w:r w:rsidRPr="001C2097">
              <w:rPr>
                <w:rFonts w:eastAsia="Times New Roman" w:cs="Arial"/>
                <w:b/>
                <w:bCs/>
              </w:rPr>
              <w:t>.</w:t>
            </w:r>
          </w:p>
        </w:tc>
      </w:tr>
      <w:tr w:rsidR="0080444C" w:rsidRPr="002C6724" w14:paraId="2CA0FBE7" w14:textId="77777777" w:rsidTr="0080444C">
        <w:trPr>
          <w:jc w:val="center"/>
        </w:trPr>
        <w:tc>
          <w:tcPr>
            <w:tcW w:w="2203" w:type="dxa"/>
            <w:shd w:val="clear" w:color="auto" w:fill="auto"/>
          </w:tcPr>
          <w:p w14:paraId="5469874A" w14:textId="77777777" w:rsidR="0080444C" w:rsidRPr="001C2097" w:rsidRDefault="0080444C" w:rsidP="005C302A">
            <w:pPr>
              <w:rPr>
                <w:rFonts w:eastAsia="Times New Roman" w:cs="Arial"/>
                <w:bCs/>
              </w:rPr>
            </w:pPr>
            <w:r w:rsidRPr="001C2097">
              <w:rPr>
                <w:rFonts w:eastAsia="Times New Roman" w:cs="Arial"/>
                <w:bCs/>
              </w:rPr>
              <w:t>Retail convenience</w:t>
            </w:r>
            <w:r w:rsidRPr="001C2097">
              <w:rPr>
                <w:rFonts w:eastAsia="Times New Roman" w:cs="Arial"/>
                <w:bCs/>
                <w:vertAlign w:val="superscript"/>
              </w:rPr>
              <w:t>1</w:t>
            </w:r>
          </w:p>
        </w:tc>
        <w:tc>
          <w:tcPr>
            <w:tcW w:w="4175" w:type="dxa"/>
            <w:shd w:val="clear" w:color="auto" w:fill="auto"/>
          </w:tcPr>
          <w:p w14:paraId="6F7807C8" w14:textId="1AF14C79" w:rsidR="0080444C" w:rsidRPr="001C2097" w:rsidRDefault="0080444C" w:rsidP="005C302A">
            <w:pPr>
              <w:rPr>
                <w:rFonts w:eastAsia="Times New Roman" w:cs="Arial"/>
                <w:bCs/>
              </w:rPr>
            </w:pPr>
            <w:r w:rsidRPr="001C2097">
              <w:rPr>
                <w:rFonts w:eastAsia="Times New Roman" w:cs="Arial"/>
                <w:bCs/>
              </w:rPr>
              <w:t>&lt;2,</w:t>
            </w:r>
            <w:r w:rsidR="0002661E" w:rsidRPr="001C2097">
              <w:rPr>
                <w:rFonts w:eastAsia="Times New Roman" w:cs="Arial"/>
                <w:bCs/>
              </w:rPr>
              <w:t>7</w:t>
            </w:r>
            <w:r w:rsidRPr="001C2097">
              <w:rPr>
                <w:rFonts w:eastAsia="Times New Roman" w:cs="Arial"/>
                <w:bCs/>
              </w:rPr>
              <w:t>00 sqm</w:t>
            </w:r>
          </w:p>
        </w:tc>
        <w:tc>
          <w:tcPr>
            <w:tcW w:w="1382" w:type="dxa"/>
          </w:tcPr>
          <w:p w14:paraId="78A9FECD" w14:textId="77777777" w:rsidR="0080444C" w:rsidRPr="001C2097" w:rsidRDefault="0080444C" w:rsidP="005C302A">
            <w:pPr>
              <w:rPr>
                <w:rFonts w:eastAsia="Times New Roman" w:cs="Arial"/>
                <w:bCs/>
              </w:rPr>
            </w:pPr>
            <w:r w:rsidRPr="001C2097">
              <w:rPr>
                <w:rFonts w:eastAsia="Times New Roman" w:cs="Arial"/>
                <w:bCs/>
              </w:rPr>
              <w:t>£0</w:t>
            </w:r>
          </w:p>
        </w:tc>
      </w:tr>
      <w:tr w:rsidR="0080444C" w:rsidRPr="002C6724" w14:paraId="4926373D" w14:textId="77777777" w:rsidTr="0080444C">
        <w:trPr>
          <w:jc w:val="center"/>
        </w:trPr>
        <w:tc>
          <w:tcPr>
            <w:tcW w:w="2203" w:type="dxa"/>
            <w:shd w:val="clear" w:color="auto" w:fill="auto"/>
          </w:tcPr>
          <w:p w14:paraId="36ECA975" w14:textId="77777777" w:rsidR="0080444C" w:rsidRPr="001C2097" w:rsidRDefault="0080444C" w:rsidP="005C302A">
            <w:pPr>
              <w:rPr>
                <w:rFonts w:eastAsia="Times New Roman" w:cs="Arial"/>
                <w:bCs/>
              </w:rPr>
            </w:pPr>
            <w:r w:rsidRPr="001C2097">
              <w:rPr>
                <w:rFonts w:eastAsia="Times New Roman" w:cs="Arial"/>
                <w:bCs/>
              </w:rPr>
              <w:t>Retail convenience</w:t>
            </w:r>
            <w:r w:rsidRPr="001C2097">
              <w:rPr>
                <w:rFonts w:eastAsia="Times New Roman" w:cs="Arial"/>
                <w:bCs/>
                <w:vertAlign w:val="superscript"/>
              </w:rPr>
              <w:t>1</w:t>
            </w:r>
          </w:p>
        </w:tc>
        <w:tc>
          <w:tcPr>
            <w:tcW w:w="4175" w:type="dxa"/>
            <w:shd w:val="clear" w:color="auto" w:fill="auto"/>
          </w:tcPr>
          <w:p w14:paraId="302DAD7E" w14:textId="0DDACED2" w:rsidR="0080444C" w:rsidRPr="001C2097" w:rsidRDefault="0080444C" w:rsidP="005C302A">
            <w:pPr>
              <w:rPr>
                <w:rFonts w:eastAsia="Times New Roman" w:cs="Arial"/>
                <w:bCs/>
              </w:rPr>
            </w:pPr>
            <w:r w:rsidRPr="001C2097">
              <w:rPr>
                <w:rFonts w:eastAsia="Times New Roman" w:cs="Arial"/>
                <w:bCs/>
              </w:rPr>
              <w:t>&gt;2,</w:t>
            </w:r>
            <w:r w:rsidR="0002661E" w:rsidRPr="001C2097">
              <w:rPr>
                <w:rFonts w:eastAsia="Times New Roman" w:cs="Arial"/>
                <w:bCs/>
              </w:rPr>
              <w:t>7</w:t>
            </w:r>
            <w:r w:rsidRPr="001C2097">
              <w:rPr>
                <w:rFonts w:eastAsia="Times New Roman" w:cs="Arial"/>
                <w:bCs/>
              </w:rPr>
              <w:t xml:space="preserve">00 sqm </w:t>
            </w:r>
          </w:p>
        </w:tc>
        <w:tc>
          <w:tcPr>
            <w:tcW w:w="1382" w:type="dxa"/>
          </w:tcPr>
          <w:p w14:paraId="067ECA5E" w14:textId="03CFBCA3" w:rsidR="0080444C" w:rsidRPr="001C2097" w:rsidRDefault="0080444C" w:rsidP="005C302A">
            <w:pPr>
              <w:rPr>
                <w:rFonts w:eastAsia="Times New Roman" w:cs="Arial"/>
                <w:bCs/>
              </w:rPr>
            </w:pPr>
            <w:r w:rsidRPr="001C2097">
              <w:rPr>
                <w:rFonts w:eastAsia="Times New Roman" w:cs="Arial"/>
                <w:bCs/>
              </w:rPr>
              <w:t>£3</w:t>
            </w:r>
            <w:r w:rsidR="0002661E" w:rsidRPr="001C2097">
              <w:rPr>
                <w:rFonts w:eastAsia="Times New Roman" w:cs="Arial"/>
                <w:bCs/>
              </w:rPr>
              <w:t>42</w:t>
            </w:r>
            <w:r w:rsidRPr="001C2097">
              <w:rPr>
                <w:rFonts w:eastAsia="Times New Roman" w:cs="Arial"/>
                <w:bCs/>
              </w:rPr>
              <w:t>.00</w:t>
            </w:r>
          </w:p>
        </w:tc>
      </w:tr>
      <w:tr w:rsidR="0080444C" w:rsidRPr="002C6724" w14:paraId="03AFA2E4" w14:textId="77777777" w:rsidTr="0080444C">
        <w:trPr>
          <w:jc w:val="center"/>
        </w:trPr>
        <w:tc>
          <w:tcPr>
            <w:tcW w:w="2203" w:type="dxa"/>
            <w:shd w:val="clear" w:color="auto" w:fill="auto"/>
          </w:tcPr>
          <w:p w14:paraId="5A21F6C0" w14:textId="77777777" w:rsidR="0080444C" w:rsidRPr="001C2097" w:rsidRDefault="0080444C" w:rsidP="005C302A">
            <w:pPr>
              <w:rPr>
                <w:rFonts w:eastAsia="Times New Roman" w:cs="Arial"/>
                <w:bCs/>
              </w:rPr>
            </w:pPr>
            <w:r w:rsidRPr="001C2097">
              <w:rPr>
                <w:rFonts w:eastAsia="Times New Roman" w:cs="Arial"/>
                <w:bCs/>
              </w:rPr>
              <w:t>Retail</w:t>
            </w:r>
            <w:r w:rsidRPr="001C2097">
              <w:rPr>
                <w:rFonts w:eastAsia="Times New Roman" w:cs="Arial"/>
                <w:bCs/>
                <w:vertAlign w:val="superscript"/>
              </w:rPr>
              <w:t>2</w:t>
            </w:r>
          </w:p>
        </w:tc>
        <w:tc>
          <w:tcPr>
            <w:tcW w:w="4175" w:type="dxa"/>
            <w:shd w:val="clear" w:color="auto" w:fill="auto"/>
          </w:tcPr>
          <w:p w14:paraId="64040A8D" w14:textId="77777777" w:rsidR="0080444C" w:rsidRPr="001C2097" w:rsidRDefault="0080444C" w:rsidP="005C302A">
            <w:pPr>
              <w:rPr>
                <w:rFonts w:eastAsia="Times New Roman" w:cs="Arial"/>
                <w:bCs/>
              </w:rPr>
            </w:pPr>
            <w:r w:rsidRPr="001C2097">
              <w:rPr>
                <w:rFonts w:eastAsia="Times New Roman" w:cs="Arial"/>
                <w:bCs/>
              </w:rPr>
              <w:t>All other</w:t>
            </w:r>
          </w:p>
        </w:tc>
        <w:tc>
          <w:tcPr>
            <w:tcW w:w="1382" w:type="dxa"/>
          </w:tcPr>
          <w:p w14:paraId="3A665AA1" w14:textId="77777777" w:rsidR="0080444C" w:rsidRPr="001C2097" w:rsidRDefault="0080444C" w:rsidP="005C302A">
            <w:pPr>
              <w:rPr>
                <w:rFonts w:eastAsia="Times New Roman" w:cs="Arial"/>
                <w:bCs/>
              </w:rPr>
            </w:pPr>
            <w:r w:rsidRPr="001C2097">
              <w:rPr>
                <w:rFonts w:eastAsia="Times New Roman" w:cs="Arial"/>
                <w:bCs/>
              </w:rPr>
              <w:t>£0</w:t>
            </w:r>
          </w:p>
        </w:tc>
      </w:tr>
      <w:tr w:rsidR="0080444C" w:rsidRPr="002C6724" w14:paraId="276C947E" w14:textId="77777777" w:rsidTr="0080444C">
        <w:trPr>
          <w:jc w:val="center"/>
        </w:trPr>
        <w:tc>
          <w:tcPr>
            <w:tcW w:w="2203" w:type="dxa"/>
            <w:shd w:val="clear" w:color="auto" w:fill="auto"/>
          </w:tcPr>
          <w:p w14:paraId="0408B47D" w14:textId="77777777" w:rsidR="0080444C" w:rsidRPr="001C2097" w:rsidRDefault="0080444C" w:rsidP="005C302A">
            <w:pPr>
              <w:rPr>
                <w:rFonts w:eastAsia="Times New Roman" w:cs="Arial"/>
                <w:bCs/>
              </w:rPr>
            </w:pPr>
            <w:r w:rsidRPr="001C2097">
              <w:rPr>
                <w:rFonts w:eastAsia="Times New Roman" w:cs="Arial"/>
                <w:bCs/>
              </w:rPr>
              <w:t>Retail</w:t>
            </w:r>
            <w:r w:rsidRPr="001C2097">
              <w:rPr>
                <w:rFonts w:eastAsia="Times New Roman" w:cs="Arial"/>
                <w:bCs/>
                <w:vertAlign w:val="superscript"/>
              </w:rPr>
              <w:t>2</w:t>
            </w:r>
          </w:p>
        </w:tc>
        <w:tc>
          <w:tcPr>
            <w:tcW w:w="4175" w:type="dxa"/>
            <w:shd w:val="clear" w:color="auto" w:fill="auto"/>
          </w:tcPr>
          <w:p w14:paraId="5D00C09A" w14:textId="77777777" w:rsidR="0080444C" w:rsidRPr="001C2097" w:rsidRDefault="0080444C" w:rsidP="005C302A">
            <w:pPr>
              <w:rPr>
                <w:rFonts w:eastAsia="Times New Roman" w:cs="Arial"/>
                <w:bCs/>
              </w:rPr>
            </w:pPr>
            <w:r w:rsidRPr="001C2097">
              <w:rPr>
                <w:rFonts w:eastAsia="Times New Roman" w:cs="Arial"/>
                <w:bCs/>
              </w:rPr>
              <w:t>Greenbelt Development (Sustainable urban extension)</w:t>
            </w:r>
          </w:p>
        </w:tc>
        <w:tc>
          <w:tcPr>
            <w:tcW w:w="1382" w:type="dxa"/>
          </w:tcPr>
          <w:p w14:paraId="1C4F4090" w14:textId="77777777" w:rsidR="0080444C" w:rsidRPr="001C2097" w:rsidRDefault="0080444C" w:rsidP="005C302A">
            <w:pPr>
              <w:rPr>
                <w:rFonts w:eastAsia="Times New Roman" w:cs="Arial"/>
                <w:bCs/>
              </w:rPr>
            </w:pPr>
            <w:r w:rsidRPr="001C2097">
              <w:rPr>
                <w:rFonts w:eastAsia="Times New Roman" w:cs="Arial"/>
                <w:bCs/>
              </w:rPr>
              <w:t>£0</w:t>
            </w:r>
          </w:p>
        </w:tc>
      </w:tr>
      <w:tr w:rsidR="0080444C" w:rsidRPr="002C6724" w14:paraId="35F11517" w14:textId="77777777" w:rsidTr="0080444C">
        <w:trPr>
          <w:jc w:val="center"/>
        </w:trPr>
        <w:tc>
          <w:tcPr>
            <w:tcW w:w="2203" w:type="dxa"/>
            <w:shd w:val="clear" w:color="auto" w:fill="auto"/>
          </w:tcPr>
          <w:p w14:paraId="40D8039F" w14:textId="77777777" w:rsidR="0080444C" w:rsidRPr="005F3F12" w:rsidRDefault="0080444C" w:rsidP="005C302A">
            <w:pPr>
              <w:rPr>
                <w:rFonts w:eastAsia="Times New Roman" w:cs="Arial"/>
                <w:bCs/>
              </w:rPr>
            </w:pPr>
            <w:r w:rsidRPr="005F3F12">
              <w:rPr>
                <w:rFonts w:eastAsia="Times New Roman" w:cs="Arial"/>
                <w:bCs/>
              </w:rPr>
              <w:t>Industrial/</w:t>
            </w:r>
          </w:p>
          <w:p w14:paraId="0B895C23" w14:textId="2AAE8DA0" w:rsidR="00DA7EC8" w:rsidRPr="005F3F12" w:rsidRDefault="00DA7EC8" w:rsidP="005C302A">
            <w:pPr>
              <w:rPr>
                <w:rFonts w:eastAsia="Times New Roman" w:cs="Arial"/>
                <w:bCs/>
              </w:rPr>
            </w:pPr>
            <w:r w:rsidRPr="005F3F12">
              <w:rPr>
                <w:rFonts w:eastAsia="Times New Roman" w:cs="Arial"/>
                <w:bCs/>
              </w:rPr>
              <w:t>Warehousing</w:t>
            </w:r>
          </w:p>
        </w:tc>
        <w:tc>
          <w:tcPr>
            <w:tcW w:w="4175" w:type="dxa"/>
            <w:shd w:val="clear" w:color="auto" w:fill="auto"/>
          </w:tcPr>
          <w:p w14:paraId="2FA068F2" w14:textId="77777777" w:rsidR="0080444C" w:rsidRPr="005F3F12" w:rsidRDefault="0080444C" w:rsidP="005C302A">
            <w:pPr>
              <w:rPr>
                <w:rFonts w:eastAsia="Times New Roman" w:cs="Arial"/>
                <w:bCs/>
              </w:rPr>
            </w:pPr>
            <w:r w:rsidRPr="005F3F12">
              <w:rPr>
                <w:rFonts w:eastAsia="Times New Roman" w:cs="Arial"/>
                <w:bCs/>
              </w:rPr>
              <w:t>All areas</w:t>
            </w:r>
          </w:p>
        </w:tc>
        <w:tc>
          <w:tcPr>
            <w:tcW w:w="1382" w:type="dxa"/>
          </w:tcPr>
          <w:p w14:paraId="158F4FB2" w14:textId="738F68BB" w:rsidR="0080444C" w:rsidRPr="005F3F12" w:rsidRDefault="0080444C" w:rsidP="005C302A">
            <w:pPr>
              <w:rPr>
                <w:rFonts w:eastAsia="Times New Roman" w:cs="Arial"/>
                <w:bCs/>
              </w:rPr>
            </w:pPr>
            <w:r w:rsidRPr="005F3F12">
              <w:rPr>
                <w:rFonts w:eastAsia="Times New Roman" w:cs="Arial"/>
                <w:bCs/>
              </w:rPr>
              <w:t>£</w:t>
            </w:r>
            <w:r w:rsidR="009E4403" w:rsidRPr="005F3F12">
              <w:rPr>
                <w:rFonts w:eastAsia="Times New Roman" w:cs="Arial"/>
                <w:bCs/>
              </w:rPr>
              <w:t>50</w:t>
            </w:r>
          </w:p>
        </w:tc>
      </w:tr>
      <w:tr w:rsidR="0080444C" w:rsidRPr="002C6724" w14:paraId="7506FAFA" w14:textId="77777777" w:rsidTr="0080444C">
        <w:trPr>
          <w:jc w:val="center"/>
        </w:trPr>
        <w:tc>
          <w:tcPr>
            <w:tcW w:w="2203" w:type="dxa"/>
            <w:shd w:val="clear" w:color="auto" w:fill="auto"/>
          </w:tcPr>
          <w:p w14:paraId="7CC2DA62" w14:textId="77777777" w:rsidR="0080444C" w:rsidRPr="005F3F12" w:rsidRDefault="0080444C" w:rsidP="005C302A">
            <w:pPr>
              <w:rPr>
                <w:rFonts w:eastAsia="Times New Roman" w:cs="Arial"/>
                <w:bCs/>
              </w:rPr>
            </w:pPr>
            <w:r w:rsidRPr="005F3F12">
              <w:rPr>
                <w:rFonts w:eastAsia="Times New Roman" w:cs="Arial"/>
                <w:bCs/>
              </w:rPr>
              <w:t>Offices</w:t>
            </w:r>
          </w:p>
        </w:tc>
        <w:tc>
          <w:tcPr>
            <w:tcW w:w="4175" w:type="dxa"/>
            <w:shd w:val="clear" w:color="auto" w:fill="auto"/>
          </w:tcPr>
          <w:p w14:paraId="5A40E94C" w14:textId="768409DB" w:rsidR="0080444C" w:rsidRPr="005F3F12" w:rsidRDefault="001C2097" w:rsidP="005C302A">
            <w:pPr>
              <w:rPr>
                <w:rFonts w:eastAsia="Times New Roman" w:cs="Arial"/>
                <w:bCs/>
              </w:rPr>
            </w:pPr>
            <w:r w:rsidRPr="005F3F12">
              <w:rPr>
                <w:rFonts w:eastAsia="Times New Roman" w:cs="Arial"/>
                <w:bCs/>
              </w:rPr>
              <w:t>City Centre</w:t>
            </w:r>
          </w:p>
        </w:tc>
        <w:tc>
          <w:tcPr>
            <w:tcW w:w="1382" w:type="dxa"/>
          </w:tcPr>
          <w:p w14:paraId="46BA52CA" w14:textId="77777777" w:rsidR="0080444C" w:rsidRPr="005F3F12" w:rsidRDefault="0080444C" w:rsidP="005C302A">
            <w:pPr>
              <w:rPr>
                <w:rFonts w:eastAsia="Times New Roman" w:cs="Arial"/>
                <w:bCs/>
              </w:rPr>
            </w:pPr>
            <w:r w:rsidRPr="005F3F12">
              <w:rPr>
                <w:rFonts w:eastAsia="Times New Roman" w:cs="Arial"/>
                <w:bCs/>
              </w:rPr>
              <w:t>£25</w:t>
            </w:r>
          </w:p>
        </w:tc>
      </w:tr>
      <w:tr w:rsidR="001C2097" w:rsidRPr="002C6724" w14:paraId="5DA74948" w14:textId="77777777" w:rsidTr="0080444C">
        <w:trPr>
          <w:jc w:val="center"/>
        </w:trPr>
        <w:tc>
          <w:tcPr>
            <w:tcW w:w="2203" w:type="dxa"/>
            <w:shd w:val="clear" w:color="auto" w:fill="auto"/>
          </w:tcPr>
          <w:p w14:paraId="5CE0E0E4" w14:textId="6040FA7D" w:rsidR="001C2097" w:rsidRPr="005F3F12" w:rsidRDefault="001C2097" w:rsidP="001C2097">
            <w:pPr>
              <w:rPr>
                <w:rFonts w:eastAsia="Times New Roman" w:cs="Arial"/>
                <w:bCs/>
              </w:rPr>
            </w:pPr>
            <w:r w:rsidRPr="005F3F12">
              <w:rPr>
                <w:rFonts w:eastAsia="Times New Roman" w:cs="Arial"/>
                <w:bCs/>
              </w:rPr>
              <w:t>Offices</w:t>
            </w:r>
          </w:p>
        </w:tc>
        <w:tc>
          <w:tcPr>
            <w:tcW w:w="4175" w:type="dxa"/>
            <w:shd w:val="clear" w:color="auto" w:fill="auto"/>
          </w:tcPr>
          <w:p w14:paraId="3A207454" w14:textId="1D453588" w:rsidR="001C2097" w:rsidRPr="005F3F12" w:rsidRDefault="001C2097" w:rsidP="001C2097">
            <w:pPr>
              <w:rPr>
                <w:rFonts w:eastAsia="Times New Roman" w:cs="Arial"/>
                <w:bCs/>
              </w:rPr>
            </w:pPr>
            <w:r w:rsidRPr="005F3F12">
              <w:rPr>
                <w:rFonts w:eastAsia="Times New Roman" w:cs="Arial"/>
                <w:bCs/>
              </w:rPr>
              <w:t>Rest of city</w:t>
            </w:r>
          </w:p>
        </w:tc>
        <w:tc>
          <w:tcPr>
            <w:tcW w:w="1382" w:type="dxa"/>
          </w:tcPr>
          <w:p w14:paraId="0A1B8AC4" w14:textId="50E54062" w:rsidR="001C2097" w:rsidRPr="005F3F12" w:rsidRDefault="001C2097" w:rsidP="001C2097">
            <w:pPr>
              <w:rPr>
                <w:rFonts w:eastAsia="Times New Roman" w:cs="Arial"/>
                <w:bCs/>
              </w:rPr>
            </w:pPr>
            <w:r w:rsidRPr="005F3F12">
              <w:rPr>
                <w:rFonts w:eastAsia="Times New Roman" w:cs="Arial"/>
                <w:bCs/>
              </w:rPr>
              <w:t>£0</w:t>
            </w:r>
          </w:p>
        </w:tc>
      </w:tr>
      <w:tr w:rsidR="001C2097" w:rsidRPr="002C6724" w14:paraId="4674BAA8" w14:textId="77777777" w:rsidTr="0080444C">
        <w:trPr>
          <w:jc w:val="center"/>
        </w:trPr>
        <w:tc>
          <w:tcPr>
            <w:tcW w:w="2203" w:type="dxa"/>
            <w:shd w:val="clear" w:color="auto" w:fill="auto"/>
          </w:tcPr>
          <w:p w14:paraId="27D742BB" w14:textId="77777777" w:rsidR="001C2097" w:rsidRPr="005F3F12" w:rsidRDefault="001C2097" w:rsidP="001C2097">
            <w:pPr>
              <w:rPr>
                <w:rFonts w:eastAsia="Times New Roman" w:cs="Arial"/>
                <w:bCs/>
              </w:rPr>
            </w:pPr>
            <w:r w:rsidRPr="005F3F12">
              <w:rPr>
                <w:rFonts w:eastAsia="Times New Roman" w:cs="Arial"/>
                <w:bCs/>
              </w:rPr>
              <w:t>Residential</w:t>
            </w:r>
          </w:p>
        </w:tc>
        <w:tc>
          <w:tcPr>
            <w:tcW w:w="4175" w:type="dxa"/>
            <w:shd w:val="clear" w:color="auto" w:fill="auto"/>
          </w:tcPr>
          <w:p w14:paraId="0827C7CB" w14:textId="77777777" w:rsidR="001C2097" w:rsidRPr="005F3F12" w:rsidRDefault="001C2097" w:rsidP="001C2097">
            <w:pPr>
              <w:rPr>
                <w:rFonts w:eastAsia="Times New Roman" w:cs="Arial"/>
                <w:bCs/>
              </w:rPr>
            </w:pPr>
            <w:r w:rsidRPr="005F3F12">
              <w:rPr>
                <w:rFonts w:eastAsia="Times New Roman" w:cs="Arial"/>
                <w:bCs/>
              </w:rPr>
              <w:t xml:space="preserve">Value zones 1,2 &amp; 3 (High value area) </w:t>
            </w:r>
          </w:p>
        </w:tc>
        <w:tc>
          <w:tcPr>
            <w:tcW w:w="1382" w:type="dxa"/>
          </w:tcPr>
          <w:p w14:paraId="4FBDFBE1" w14:textId="77777777" w:rsidR="001C2097" w:rsidRPr="005F3F12" w:rsidRDefault="001C2097" w:rsidP="001C2097">
            <w:pPr>
              <w:rPr>
                <w:rFonts w:eastAsia="Times New Roman" w:cs="Arial"/>
                <w:bCs/>
              </w:rPr>
            </w:pPr>
            <w:r w:rsidRPr="005F3F12">
              <w:rPr>
                <w:rFonts w:eastAsia="Times New Roman" w:cs="Arial"/>
                <w:bCs/>
              </w:rPr>
              <w:t>£125</w:t>
            </w:r>
          </w:p>
        </w:tc>
      </w:tr>
      <w:tr w:rsidR="001C2097" w:rsidRPr="002C6724" w14:paraId="6B2ECA7F" w14:textId="77777777" w:rsidTr="0080444C">
        <w:trPr>
          <w:jc w:val="center"/>
        </w:trPr>
        <w:tc>
          <w:tcPr>
            <w:tcW w:w="2203" w:type="dxa"/>
            <w:shd w:val="clear" w:color="auto" w:fill="auto"/>
          </w:tcPr>
          <w:p w14:paraId="0729A9A8" w14:textId="77777777" w:rsidR="001C2097" w:rsidRPr="005F3F12" w:rsidRDefault="001C2097" w:rsidP="001C2097">
            <w:pPr>
              <w:rPr>
                <w:rFonts w:eastAsia="Times New Roman" w:cs="Arial"/>
                <w:bCs/>
              </w:rPr>
            </w:pPr>
            <w:r w:rsidRPr="005F3F12">
              <w:rPr>
                <w:rFonts w:eastAsia="Times New Roman" w:cs="Arial"/>
                <w:bCs/>
              </w:rPr>
              <w:t>Residential</w:t>
            </w:r>
          </w:p>
        </w:tc>
        <w:tc>
          <w:tcPr>
            <w:tcW w:w="4175" w:type="dxa"/>
            <w:shd w:val="clear" w:color="auto" w:fill="auto"/>
          </w:tcPr>
          <w:p w14:paraId="645E57B6" w14:textId="77777777" w:rsidR="001C2097" w:rsidRPr="005F3F12" w:rsidRDefault="001C2097" w:rsidP="001C2097">
            <w:pPr>
              <w:rPr>
                <w:rFonts w:eastAsia="Times New Roman" w:cs="Arial"/>
                <w:bCs/>
              </w:rPr>
            </w:pPr>
            <w:r w:rsidRPr="005F3F12">
              <w:rPr>
                <w:rFonts w:eastAsia="Times New Roman" w:cs="Arial"/>
                <w:bCs/>
              </w:rPr>
              <w:t>Value zones 4,5,6 &amp; 7 (Low value area)</w:t>
            </w:r>
          </w:p>
        </w:tc>
        <w:tc>
          <w:tcPr>
            <w:tcW w:w="1382" w:type="dxa"/>
          </w:tcPr>
          <w:p w14:paraId="75E84869" w14:textId="77777777" w:rsidR="001C2097" w:rsidRPr="005F3F12" w:rsidRDefault="001C2097" w:rsidP="001C2097">
            <w:pPr>
              <w:rPr>
                <w:rFonts w:eastAsia="Times New Roman" w:cs="Arial"/>
                <w:bCs/>
              </w:rPr>
            </w:pPr>
            <w:r w:rsidRPr="005F3F12">
              <w:rPr>
                <w:rFonts w:eastAsia="Times New Roman" w:cs="Arial"/>
                <w:bCs/>
              </w:rPr>
              <w:t>£50</w:t>
            </w:r>
          </w:p>
        </w:tc>
      </w:tr>
      <w:tr w:rsidR="001C2097" w:rsidRPr="002C6724" w14:paraId="06EF5D0A" w14:textId="77777777" w:rsidTr="0080444C">
        <w:trPr>
          <w:jc w:val="center"/>
        </w:trPr>
        <w:tc>
          <w:tcPr>
            <w:tcW w:w="2203" w:type="dxa"/>
            <w:shd w:val="clear" w:color="auto" w:fill="auto"/>
          </w:tcPr>
          <w:p w14:paraId="7D1B48C5" w14:textId="77777777" w:rsidR="001C2097" w:rsidRPr="005F3F12" w:rsidRDefault="001C2097" w:rsidP="001C2097">
            <w:pPr>
              <w:rPr>
                <w:rFonts w:eastAsia="Times New Roman" w:cs="Arial"/>
                <w:bCs/>
              </w:rPr>
            </w:pPr>
            <w:r w:rsidRPr="005F3F12">
              <w:rPr>
                <w:rFonts w:eastAsia="Times New Roman" w:cs="Arial"/>
                <w:bCs/>
              </w:rPr>
              <w:t>Residential</w:t>
            </w:r>
          </w:p>
        </w:tc>
        <w:tc>
          <w:tcPr>
            <w:tcW w:w="4175" w:type="dxa"/>
            <w:shd w:val="clear" w:color="auto" w:fill="auto"/>
          </w:tcPr>
          <w:p w14:paraId="1AC3974B" w14:textId="77777777" w:rsidR="001C2097" w:rsidRPr="005F3F12" w:rsidRDefault="001C2097" w:rsidP="001C2097">
            <w:pPr>
              <w:rPr>
                <w:rFonts w:eastAsia="Times New Roman" w:cs="Arial"/>
                <w:bCs/>
              </w:rPr>
            </w:pPr>
            <w:r w:rsidRPr="005F3F12">
              <w:rPr>
                <w:rFonts w:eastAsia="Times New Roman" w:cs="Arial"/>
                <w:bCs/>
              </w:rPr>
              <w:t>Green Belt Development (Sustainable urban extension)</w:t>
            </w:r>
          </w:p>
        </w:tc>
        <w:tc>
          <w:tcPr>
            <w:tcW w:w="1382" w:type="dxa"/>
          </w:tcPr>
          <w:p w14:paraId="41F8F582" w14:textId="77777777" w:rsidR="001C2097" w:rsidRPr="005F3F12" w:rsidRDefault="001C2097" w:rsidP="001C2097">
            <w:pPr>
              <w:rPr>
                <w:rFonts w:eastAsia="Times New Roman" w:cs="Arial"/>
                <w:bCs/>
              </w:rPr>
            </w:pPr>
            <w:r w:rsidRPr="005F3F12">
              <w:rPr>
                <w:rFonts w:eastAsia="Times New Roman" w:cs="Arial"/>
                <w:bCs/>
              </w:rPr>
              <w:t>£0</w:t>
            </w:r>
          </w:p>
        </w:tc>
      </w:tr>
      <w:tr w:rsidR="001C2097" w:rsidRPr="002C6724" w14:paraId="487F0E45" w14:textId="77777777" w:rsidTr="0080444C">
        <w:trPr>
          <w:jc w:val="center"/>
        </w:trPr>
        <w:tc>
          <w:tcPr>
            <w:tcW w:w="2203" w:type="dxa"/>
            <w:shd w:val="clear" w:color="auto" w:fill="auto"/>
          </w:tcPr>
          <w:p w14:paraId="27D0EFD2" w14:textId="77777777" w:rsidR="001C2097" w:rsidRPr="005F3F12" w:rsidRDefault="001C2097" w:rsidP="001C2097">
            <w:pPr>
              <w:rPr>
                <w:rFonts w:eastAsia="Times New Roman" w:cs="Arial"/>
                <w:bCs/>
              </w:rPr>
            </w:pPr>
            <w:r w:rsidRPr="005F3F12">
              <w:rPr>
                <w:rFonts w:eastAsia="Times New Roman" w:cs="Arial"/>
                <w:bCs/>
              </w:rPr>
              <w:t>Residential</w:t>
            </w:r>
          </w:p>
        </w:tc>
        <w:tc>
          <w:tcPr>
            <w:tcW w:w="4175" w:type="dxa"/>
            <w:shd w:val="clear" w:color="auto" w:fill="auto"/>
          </w:tcPr>
          <w:p w14:paraId="158D250E" w14:textId="7D536742" w:rsidR="001C2097" w:rsidRPr="005F3F12" w:rsidRDefault="001C2097" w:rsidP="001C2097">
            <w:pPr>
              <w:rPr>
                <w:rFonts w:eastAsia="Times New Roman" w:cs="Arial"/>
                <w:bCs/>
              </w:rPr>
            </w:pPr>
            <w:r w:rsidRPr="005F3F12">
              <w:rPr>
                <w:rFonts w:eastAsia="Times New Roman" w:cs="Arial"/>
                <w:bCs/>
              </w:rPr>
              <w:t>Social Housing (Providers registered with HCA and Birmingham Municipal Housing Trust developments)</w:t>
            </w:r>
          </w:p>
        </w:tc>
        <w:tc>
          <w:tcPr>
            <w:tcW w:w="1382" w:type="dxa"/>
          </w:tcPr>
          <w:p w14:paraId="29D76D0B" w14:textId="77777777" w:rsidR="001C2097" w:rsidRPr="005F3F12" w:rsidRDefault="001C2097" w:rsidP="001C2097">
            <w:pPr>
              <w:rPr>
                <w:rFonts w:eastAsia="Times New Roman" w:cs="Arial"/>
                <w:bCs/>
              </w:rPr>
            </w:pPr>
            <w:r w:rsidRPr="005F3F12">
              <w:rPr>
                <w:rFonts w:eastAsia="Times New Roman" w:cs="Arial"/>
                <w:bCs/>
              </w:rPr>
              <w:t>£0</w:t>
            </w:r>
          </w:p>
        </w:tc>
      </w:tr>
      <w:tr w:rsidR="001C2097" w:rsidRPr="002C6724" w14:paraId="292A7F5E" w14:textId="77777777" w:rsidTr="0080444C">
        <w:trPr>
          <w:jc w:val="center"/>
        </w:trPr>
        <w:tc>
          <w:tcPr>
            <w:tcW w:w="2203" w:type="dxa"/>
            <w:shd w:val="clear" w:color="auto" w:fill="auto"/>
          </w:tcPr>
          <w:p w14:paraId="4D534DA6" w14:textId="77777777" w:rsidR="001C2097" w:rsidRPr="005F3F12" w:rsidRDefault="001C2097" w:rsidP="001C2097">
            <w:pPr>
              <w:rPr>
                <w:rFonts w:eastAsia="Times New Roman" w:cs="Arial"/>
                <w:bCs/>
              </w:rPr>
            </w:pPr>
            <w:r w:rsidRPr="005F3F12">
              <w:rPr>
                <w:rFonts w:eastAsia="Times New Roman" w:cs="Arial"/>
                <w:bCs/>
              </w:rPr>
              <w:t>Student housing</w:t>
            </w:r>
          </w:p>
        </w:tc>
        <w:tc>
          <w:tcPr>
            <w:tcW w:w="4175" w:type="dxa"/>
            <w:shd w:val="clear" w:color="auto" w:fill="auto"/>
          </w:tcPr>
          <w:p w14:paraId="0FD6B851" w14:textId="77777777" w:rsidR="001C2097" w:rsidRPr="005F3F12" w:rsidRDefault="001C2097" w:rsidP="001C2097">
            <w:pPr>
              <w:rPr>
                <w:rFonts w:eastAsia="Times New Roman" w:cs="Arial"/>
                <w:bCs/>
              </w:rPr>
            </w:pPr>
            <w:r w:rsidRPr="005F3F12">
              <w:rPr>
                <w:rFonts w:eastAsia="Times New Roman" w:cs="Arial"/>
                <w:bCs/>
              </w:rPr>
              <w:t>All areas, except Green Belt Development (Sustainable urban extension)</w:t>
            </w:r>
          </w:p>
        </w:tc>
        <w:tc>
          <w:tcPr>
            <w:tcW w:w="1382" w:type="dxa"/>
          </w:tcPr>
          <w:p w14:paraId="28644151" w14:textId="77777777" w:rsidR="001C2097" w:rsidRPr="005F3F12" w:rsidRDefault="001C2097" w:rsidP="001C2097">
            <w:pPr>
              <w:rPr>
                <w:rFonts w:eastAsia="Times New Roman" w:cs="Arial"/>
                <w:bCs/>
              </w:rPr>
            </w:pPr>
            <w:r w:rsidRPr="005F3F12">
              <w:rPr>
                <w:rFonts w:eastAsia="Times New Roman" w:cs="Arial"/>
                <w:bCs/>
              </w:rPr>
              <w:t>£125</w:t>
            </w:r>
          </w:p>
        </w:tc>
      </w:tr>
      <w:tr w:rsidR="001C2097" w:rsidRPr="002C6724" w14:paraId="098DE171" w14:textId="77777777" w:rsidTr="0080444C">
        <w:trPr>
          <w:jc w:val="center"/>
        </w:trPr>
        <w:tc>
          <w:tcPr>
            <w:tcW w:w="2203" w:type="dxa"/>
            <w:shd w:val="clear" w:color="auto" w:fill="auto"/>
          </w:tcPr>
          <w:p w14:paraId="5E6502CD" w14:textId="77777777" w:rsidR="001C2097" w:rsidRPr="005F3F12" w:rsidRDefault="001C2097" w:rsidP="001C2097">
            <w:pPr>
              <w:rPr>
                <w:rFonts w:eastAsia="Times New Roman" w:cs="Arial"/>
                <w:bCs/>
              </w:rPr>
            </w:pPr>
            <w:r w:rsidRPr="005F3F12">
              <w:rPr>
                <w:rFonts w:eastAsia="Times New Roman" w:cs="Arial"/>
                <w:bCs/>
              </w:rPr>
              <w:t>Student Housing</w:t>
            </w:r>
          </w:p>
        </w:tc>
        <w:tc>
          <w:tcPr>
            <w:tcW w:w="4175" w:type="dxa"/>
            <w:shd w:val="clear" w:color="auto" w:fill="auto"/>
          </w:tcPr>
          <w:p w14:paraId="64296184" w14:textId="77777777" w:rsidR="001C2097" w:rsidRPr="005F3F12" w:rsidRDefault="001C2097" w:rsidP="001C2097">
            <w:pPr>
              <w:rPr>
                <w:rFonts w:eastAsia="Times New Roman" w:cs="Arial"/>
                <w:bCs/>
              </w:rPr>
            </w:pPr>
            <w:r w:rsidRPr="005F3F12">
              <w:rPr>
                <w:rFonts w:eastAsia="Times New Roman" w:cs="Arial"/>
                <w:bCs/>
              </w:rPr>
              <w:t>Green Belt Development (Sustainable urban extension)</w:t>
            </w:r>
          </w:p>
        </w:tc>
        <w:tc>
          <w:tcPr>
            <w:tcW w:w="1382" w:type="dxa"/>
          </w:tcPr>
          <w:p w14:paraId="59E6E28B" w14:textId="77777777" w:rsidR="001C2097" w:rsidRPr="005F3F12" w:rsidRDefault="001C2097" w:rsidP="001C2097">
            <w:pPr>
              <w:rPr>
                <w:rFonts w:eastAsia="Times New Roman" w:cs="Arial"/>
                <w:bCs/>
              </w:rPr>
            </w:pPr>
            <w:r w:rsidRPr="005F3F12">
              <w:rPr>
                <w:rFonts w:eastAsia="Times New Roman" w:cs="Arial"/>
                <w:bCs/>
              </w:rPr>
              <w:t>£0</w:t>
            </w:r>
          </w:p>
        </w:tc>
      </w:tr>
      <w:tr w:rsidR="001C2097" w:rsidRPr="002C6724" w14:paraId="688D566D" w14:textId="77777777" w:rsidTr="0080444C">
        <w:trPr>
          <w:jc w:val="center"/>
        </w:trPr>
        <w:tc>
          <w:tcPr>
            <w:tcW w:w="2203" w:type="dxa"/>
            <w:shd w:val="clear" w:color="auto" w:fill="auto"/>
          </w:tcPr>
          <w:p w14:paraId="230E5198" w14:textId="77777777" w:rsidR="001C2097" w:rsidRPr="005F3F12" w:rsidRDefault="001C2097" w:rsidP="001C2097">
            <w:pPr>
              <w:rPr>
                <w:rFonts w:eastAsia="Times New Roman" w:cs="Arial"/>
                <w:bCs/>
              </w:rPr>
            </w:pPr>
            <w:r w:rsidRPr="005F3F12">
              <w:rPr>
                <w:rFonts w:eastAsia="Times New Roman" w:cs="Arial"/>
                <w:bCs/>
              </w:rPr>
              <w:t>Hotel</w:t>
            </w:r>
          </w:p>
        </w:tc>
        <w:tc>
          <w:tcPr>
            <w:tcW w:w="4175" w:type="dxa"/>
            <w:shd w:val="clear" w:color="auto" w:fill="auto"/>
          </w:tcPr>
          <w:p w14:paraId="775CE7C4" w14:textId="77777777" w:rsidR="001C2097" w:rsidRPr="005F3F12" w:rsidRDefault="001C2097" w:rsidP="001C2097">
            <w:pPr>
              <w:rPr>
                <w:rFonts w:eastAsia="Times New Roman" w:cs="Arial"/>
                <w:bCs/>
              </w:rPr>
            </w:pPr>
            <w:r w:rsidRPr="005F3F12">
              <w:rPr>
                <w:rFonts w:eastAsia="Times New Roman" w:cs="Arial"/>
                <w:bCs/>
              </w:rPr>
              <w:t>City centre</w:t>
            </w:r>
          </w:p>
        </w:tc>
        <w:tc>
          <w:tcPr>
            <w:tcW w:w="1382" w:type="dxa"/>
          </w:tcPr>
          <w:p w14:paraId="13060227" w14:textId="77777777" w:rsidR="001C2097" w:rsidRPr="005F3F12" w:rsidRDefault="001C2097" w:rsidP="001C2097">
            <w:pPr>
              <w:rPr>
                <w:rFonts w:eastAsia="Times New Roman" w:cs="Arial"/>
                <w:bCs/>
              </w:rPr>
            </w:pPr>
            <w:r w:rsidRPr="005F3F12">
              <w:rPr>
                <w:rFonts w:eastAsia="Times New Roman" w:cs="Arial"/>
                <w:bCs/>
              </w:rPr>
              <w:t>£50</w:t>
            </w:r>
          </w:p>
        </w:tc>
      </w:tr>
      <w:tr w:rsidR="001C2097" w:rsidRPr="002C6724" w14:paraId="071607F6" w14:textId="77777777" w:rsidTr="0080444C">
        <w:trPr>
          <w:jc w:val="center"/>
        </w:trPr>
        <w:tc>
          <w:tcPr>
            <w:tcW w:w="2203" w:type="dxa"/>
            <w:shd w:val="clear" w:color="auto" w:fill="auto"/>
          </w:tcPr>
          <w:p w14:paraId="11397FA6" w14:textId="77777777" w:rsidR="001C2097" w:rsidRPr="005F3F12" w:rsidRDefault="001C2097" w:rsidP="001C2097">
            <w:pPr>
              <w:rPr>
                <w:rFonts w:eastAsia="Times New Roman" w:cs="Arial"/>
                <w:bCs/>
              </w:rPr>
            </w:pPr>
            <w:r w:rsidRPr="005F3F12">
              <w:rPr>
                <w:rFonts w:eastAsia="Times New Roman" w:cs="Arial"/>
                <w:bCs/>
              </w:rPr>
              <w:t>Hotel</w:t>
            </w:r>
          </w:p>
        </w:tc>
        <w:tc>
          <w:tcPr>
            <w:tcW w:w="4175" w:type="dxa"/>
            <w:shd w:val="clear" w:color="auto" w:fill="auto"/>
          </w:tcPr>
          <w:p w14:paraId="65E2B3EE" w14:textId="77777777" w:rsidR="001C2097" w:rsidRPr="005F3F12" w:rsidRDefault="001C2097" w:rsidP="001C2097">
            <w:pPr>
              <w:rPr>
                <w:rFonts w:eastAsia="Times New Roman" w:cs="Arial"/>
                <w:bCs/>
              </w:rPr>
            </w:pPr>
            <w:r w:rsidRPr="005F3F12">
              <w:rPr>
                <w:rFonts w:eastAsia="Times New Roman" w:cs="Arial"/>
                <w:bCs/>
              </w:rPr>
              <w:t>Green Belt Development (Sustainable urban extension) and rest of city</w:t>
            </w:r>
          </w:p>
        </w:tc>
        <w:tc>
          <w:tcPr>
            <w:tcW w:w="1382" w:type="dxa"/>
          </w:tcPr>
          <w:p w14:paraId="7BEB25CC" w14:textId="77777777" w:rsidR="001C2097" w:rsidRPr="005F3F12" w:rsidRDefault="001C2097" w:rsidP="001C2097">
            <w:pPr>
              <w:rPr>
                <w:rFonts w:eastAsia="Times New Roman" w:cs="Arial"/>
                <w:bCs/>
              </w:rPr>
            </w:pPr>
            <w:r w:rsidRPr="005F3F12">
              <w:rPr>
                <w:rFonts w:eastAsia="Times New Roman" w:cs="Arial"/>
                <w:bCs/>
              </w:rPr>
              <w:t>£0</w:t>
            </w:r>
          </w:p>
        </w:tc>
      </w:tr>
      <w:tr w:rsidR="001C2097" w:rsidRPr="002C6724" w14:paraId="4FA7279D" w14:textId="77777777" w:rsidTr="0080444C">
        <w:trPr>
          <w:jc w:val="center"/>
        </w:trPr>
        <w:tc>
          <w:tcPr>
            <w:tcW w:w="2203" w:type="dxa"/>
            <w:shd w:val="clear" w:color="auto" w:fill="auto"/>
          </w:tcPr>
          <w:p w14:paraId="733C1DCA" w14:textId="77777777" w:rsidR="001C2097" w:rsidRPr="002C6724" w:rsidRDefault="001C2097" w:rsidP="001C2097">
            <w:pPr>
              <w:rPr>
                <w:rFonts w:eastAsia="Times New Roman" w:cs="Arial"/>
                <w:bCs/>
              </w:rPr>
            </w:pPr>
            <w:r w:rsidRPr="002C6724">
              <w:rPr>
                <w:rFonts w:eastAsia="Times New Roman" w:cs="Arial"/>
                <w:bCs/>
              </w:rPr>
              <w:t>Leisure</w:t>
            </w:r>
          </w:p>
        </w:tc>
        <w:tc>
          <w:tcPr>
            <w:tcW w:w="4175" w:type="dxa"/>
            <w:shd w:val="clear" w:color="auto" w:fill="auto"/>
          </w:tcPr>
          <w:p w14:paraId="644FBBC7" w14:textId="77777777" w:rsidR="001C2097" w:rsidRPr="002C6724" w:rsidRDefault="001C2097" w:rsidP="001C2097">
            <w:pPr>
              <w:rPr>
                <w:rFonts w:eastAsia="Times New Roman" w:cs="Arial"/>
                <w:bCs/>
              </w:rPr>
            </w:pPr>
            <w:r w:rsidRPr="002C6724">
              <w:rPr>
                <w:rFonts w:eastAsia="Times New Roman" w:cs="Arial"/>
                <w:bCs/>
              </w:rPr>
              <w:t>All areas</w:t>
            </w:r>
          </w:p>
        </w:tc>
        <w:tc>
          <w:tcPr>
            <w:tcW w:w="1382" w:type="dxa"/>
          </w:tcPr>
          <w:p w14:paraId="36F0D1A3" w14:textId="77777777" w:rsidR="001C2097" w:rsidRDefault="001C2097" w:rsidP="001C2097">
            <w:r w:rsidRPr="001377F7">
              <w:rPr>
                <w:rFonts w:eastAsia="Times New Roman" w:cs="Arial"/>
                <w:bCs/>
              </w:rPr>
              <w:t>£0</w:t>
            </w:r>
          </w:p>
        </w:tc>
      </w:tr>
      <w:tr w:rsidR="001C2097" w:rsidRPr="002C6724" w14:paraId="0DD397B4" w14:textId="77777777" w:rsidTr="0080444C">
        <w:trPr>
          <w:jc w:val="center"/>
        </w:trPr>
        <w:tc>
          <w:tcPr>
            <w:tcW w:w="2203" w:type="dxa"/>
            <w:shd w:val="clear" w:color="auto" w:fill="auto"/>
          </w:tcPr>
          <w:p w14:paraId="5AA7A439" w14:textId="77777777" w:rsidR="001C2097" w:rsidRPr="002C6724" w:rsidRDefault="001C2097" w:rsidP="001C2097">
            <w:pPr>
              <w:rPr>
                <w:rFonts w:eastAsia="Times New Roman" w:cs="Arial"/>
                <w:bCs/>
              </w:rPr>
            </w:pPr>
            <w:r w:rsidRPr="002C6724">
              <w:rPr>
                <w:rFonts w:eastAsia="Times New Roman" w:cs="Arial"/>
                <w:bCs/>
              </w:rPr>
              <w:t>Education</w:t>
            </w:r>
          </w:p>
        </w:tc>
        <w:tc>
          <w:tcPr>
            <w:tcW w:w="4175" w:type="dxa"/>
            <w:shd w:val="clear" w:color="auto" w:fill="auto"/>
          </w:tcPr>
          <w:p w14:paraId="6C541803" w14:textId="77777777" w:rsidR="001C2097" w:rsidRPr="002C6724" w:rsidRDefault="001C2097" w:rsidP="001C2097">
            <w:pPr>
              <w:rPr>
                <w:rFonts w:eastAsia="Times New Roman" w:cs="Arial"/>
                <w:bCs/>
              </w:rPr>
            </w:pPr>
            <w:r w:rsidRPr="002C6724">
              <w:rPr>
                <w:rFonts w:eastAsia="Times New Roman" w:cs="Arial"/>
                <w:bCs/>
              </w:rPr>
              <w:t>All areas</w:t>
            </w:r>
          </w:p>
        </w:tc>
        <w:tc>
          <w:tcPr>
            <w:tcW w:w="1382" w:type="dxa"/>
          </w:tcPr>
          <w:p w14:paraId="629BCB50" w14:textId="77777777" w:rsidR="001C2097" w:rsidRDefault="001C2097" w:rsidP="001C2097">
            <w:r w:rsidRPr="001377F7">
              <w:rPr>
                <w:rFonts w:eastAsia="Times New Roman" w:cs="Arial"/>
                <w:bCs/>
              </w:rPr>
              <w:t>£0</w:t>
            </w:r>
          </w:p>
        </w:tc>
      </w:tr>
      <w:tr w:rsidR="001C2097" w:rsidRPr="002C6724" w14:paraId="6E3D5F83" w14:textId="77777777" w:rsidTr="0080444C">
        <w:trPr>
          <w:jc w:val="center"/>
        </w:trPr>
        <w:tc>
          <w:tcPr>
            <w:tcW w:w="2203" w:type="dxa"/>
            <w:shd w:val="clear" w:color="auto" w:fill="auto"/>
          </w:tcPr>
          <w:p w14:paraId="096F8D7D" w14:textId="77777777" w:rsidR="001C2097" w:rsidRPr="002C6724" w:rsidRDefault="001C2097" w:rsidP="001C2097">
            <w:pPr>
              <w:rPr>
                <w:rFonts w:eastAsia="Times New Roman" w:cs="Arial"/>
                <w:bCs/>
              </w:rPr>
            </w:pPr>
            <w:r w:rsidRPr="002C6724">
              <w:rPr>
                <w:rFonts w:eastAsia="Times New Roman" w:cs="Arial"/>
                <w:bCs/>
              </w:rPr>
              <w:t>Health</w:t>
            </w:r>
          </w:p>
        </w:tc>
        <w:tc>
          <w:tcPr>
            <w:tcW w:w="4175" w:type="dxa"/>
            <w:shd w:val="clear" w:color="auto" w:fill="auto"/>
          </w:tcPr>
          <w:p w14:paraId="1793B7A0" w14:textId="77777777" w:rsidR="001C2097" w:rsidRPr="002C6724" w:rsidRDefault="001C2097" w:rsidP="001C2097">
            <w:pPr>
              <w:rPr>
                <w:rFonts w:eastAsia="Times New Roman" w:cs="Arial"/>
                <w:bCs/>
              </w:rPr>
            </w:pPr>
            <w:r w:rsidRPr="002C6724">
              <w:rPr>
                <w:rFonts w:eastAsia="Times New Roman" w:cs="Arial"/>
                <w:bCs/>
              </w:rPr>
              <w:t xml:space="preserve">All areas </w:t>
            </w:r>
          </w:p>
        </w:tc>
        <w:tc>
          <w:tcPr>
            <w:tcW w:w="1382" w:type="dxa"/>
          </w:tcPr>
          <w:p w14:paraId="5FEBA59D" w14:textId="77777777" w:rsidR="001C2097" w:rsidRDefault="001C2097" w:rsidP="001C2097">
            <w:r w:rsidRPr="001377F7">
              <w:rPr>
                <w:rFonts w:eastAsia="Times New Roman" w:cs="Arial"/>
                <w:bCs/>
              </w:rPr>
              <w:t>£0</w:t>
            </w:r>
          </w:p>
        </w:tc>
      </w:tr>
      <w:tr w:rsidR="001C2097" w:rsidRPr="002C6724" w14:paraId="25BC96C0" w14:textId="77777777" w:rsidTr="0080444C">
        <w:trPr>
          <w:jc w:val="center"/>
        </w:trPr>
        <w:tc>
          <w:tcPr>
            <w:tcW w:w="2203" w:type="dxa"/>
            <w:shd w:val="clear" w:color="auto" w:fill="auto"/>
          </w:tcPr>
          <w:p w14:paraId="43860F83" w14:textId="77777777" w:rsidR="001C2097" w:rsidRPr="002C6724" w:rsidRDefault="001C2097" w:rsidP="001C2097">
            <w:pPr>
              <w:rPr>
                <w:rFonts w:eastAsia="Times New Roman" w:cs="Arial"/>
                <w:bCs/>
              </w:rPr>
            </w:pPr>
            <w:r w:rsidRPr="002C6724">
              <w:rPr>
                <w:rFonts w:eastAsia="Times New Roman" w:cs="Arial"/>
                <w:bCs/>
              </w:rPr>
              <w:t>Extra Care</w:t>
            </w:r>
          </w:p>
        </w:tc>
        <w:tc>
          <w:tcPr>
            <w:tcW w:w="4175" w:type="dxa"/>
            <w:shd w:val="clear" w:color="auto" w:fill="auto"/>
          </w:tcPr>
          <w:p w14:paraId="090DF63A" w14:textId="77777777" w:rsidR="001C2097" w:rsidRPr="002C6724" w:rsidRDefault="001C2097" w:rsidP="001C2097">
            <w:pPr>
              <w:rPr>
                <w:rFonts w:eastAsia="Times New Roman" w:cs="Arial"/>
                <w:bCs/>
              </w:rPr>
            </w:pPr>
            <w:r w:rsidRPr="002C6724">
              <w:rPr>
                <w:rFonts w:eastAsia="Times New Roman" w:cs="Arial"/>
                <w:bCs/>
              </w:rPr>
              <w:t>C2 use</w:t>
            </w:r>
          </w:p>
        </w:tc>
        <w:tc>
          <w:tcPr>
            <w:tcW w:w="1382" w:type="dxa"/>
          </w:tcPr>
          <w:p w14:paraId="696368E9" w14:textId="77777777" w:rsidR="001C2097" w:rsidRDefault="001C2097" w:rsidP="001C2097">
            <w:r w:rsidRPr="001377F7">
              <w:rPr>
                <w:rFonts w:eastAsia="Times New Roman" w:cs="Arial"/>
                <w:bCs/>
              </w:rPr>
              <w:t>£0</w:t>
            </w:r>
          </w:p>
        </w:tc>
      </w:tr>
      <w:tr w:rsidR="001C2097" w:rsidRPr="002C6724" w14:paraId="262EBF68" w14:textId="77777777" w:rsidTr="0080444C">
        <w:trPr>
          <w:jc w:val="center"/>
        </w:trPr>
        <w:tc>
          <w:tcPr>
            <w:tcW w:w="2203" w:type="dxa"/>
            <w:shd w:val="clear" w:color="auto" w:fill="auto"/>
          </w:tcPr>
          <w:p w14:paraId="4EF01100" w14:textId="77777777" w:rsidR="001C2097" w:rsidRPr="002C6724" w:rsidRDefault="001C2097" w:rsidP="001C2097">
            <w:pPr>
              <w:rPr>
                <w:rFonts w:eastAsia="Times New Roman" w:cs="Arial"/>
                <w:bCs/>
              </w:rPr>
            </w:pPr>
            <w:r w:rsidRPr="002C6724">
              <w:rPr>
                <w:rFonts w:eastAsia="Times New Roman" w:cs="Arial"/>
                <w:bCs/>
              </w:rPr>
              <w:t>All other development</w:t>
            </w:r>
          </w:p>
        </w:tc>
        <w:tc>
          <w:tcPr>
            <w:tcW w:w="4175" w:type="dxa"/>
            <w:shd w:val="clear" w:color="auto" w:fill="auto"/>
          </w:tcPr>
          <w:p w14:paraId="6AC91140" w14:textId="77777777" w:rsidR="001C2097" w:rsidRPr="002C6724" w:rsidRDefault="001C2097" w:rsidP="001C2097">
            <w:pPr>
              <w:rPr>
                <w:rFonts w:eastAsia="Times New Roman" w:cs="Arial"/>
                <w:bCs/>
              </w:rPr>
            </w:pPr>
            <w:r w:rsidRPr="002C6724">
              <w:rPr>
                <w:rFonts w:eastAsia="Times New Roman" w:cs="Arial"/>
                <w:bCs/>
              </w:rPr>
              <w:t xml:space="preserve">All areas </w:t>
            </w:r>
          </w:p>
        </w:tc>
        <w:tc>
          <w:tcPr>
            <w:tcW w:w="1382" w:type="dxa"/>
          </w:tcPr>
          <w:p w14:paraId="7B19C1DA" w14:textId="52B9FE7D" w:rsidR="001C2097" w:rsidRPr="00F31BC9" w:rsidRDefault="001C2097" w:rsidP="001C2097">
            <w:pPr>
              <w:rPr>
                <w:rFonts w:eastAsia="Times New Roman" w:cs="Arial"/>
                <w:bCs/>
              </w:rPr>
            </w:pPr>
            <w:r>
              <w:rPr>
                <w:rFonts w:eastAsia="Times New Roman" w:cs="Arial"/>
                <w:bCs/>
              </w:rPr>
              <w:t>£0</w:t>
            </w:r>
          </w:p>
        </w:tc>
      </w:tr>
    </w:tbl>
    <w:p w14:paraId="7CBE5567" w14:textId="2CDF4EAC" w:rsidR="004D528B" w:rsidRDefault="004D528B" w:rsidP="006C5BF8"/>
    <w:p w14:paraId="12BE11BA" w14:textId="7F66C124" w:rsidR="0080444C" w:rsidRPr="00070322" w:rsidRDefault="0080444C" w:rsidP="00070322">
      <w:pPr>
        <w:pStyle w:val="ListParagraph"/>
        <w:numPr>
          <w:ilvl w:val="0"/>
          <w:numId w:val="1"/>
        </w:numPr>
        <w:rPr>
          <w:bCs/>
          <w:i/>
        </w:rPr>
      </w:pPr>
      <w:r w:rsidRPr="00070322">
        <w:rPr>
          <w:bCs/>
          <w:i/>
        </w:rPr>
        <w:t>Retail convenience can also include non-food floorspace as part of the overall mix of the unit.</w:t>
      </w:r>
    </w:p>
    <w:p w14:paraId="3BA3F91E" w14:textId="5B027ABD" w:rsidR="00070322" w:rsidRDefault="00070322" w:rsidP="00070322">
      <w:pPr>
        <w:pStyle w:val="ListParagraph"/>
        <w:numPr>
          <w:ilvl w:val="0"/>
          <w:numId w:val="1"/>
        </w:numPr>
        <w:rPr>
          <w:bCs/>
          <w:i/>
        </w:rPr>
      </w:pPr>
      <w:r w:rsidRPr="00070322">
        <w:rPr>
          <w:bCs/>
          <w:i/>
        </w:rPr>
        <w:t>Retail - This category will include those retail units selling good not bought on a frequent basis.</w:t>
      </w:r>
    </w:p>
    <w:p w14:paraId="092B9C2D" w14:textId="6812C39F" w:rsidR="00070322" w:rsidRDefault="00070322" w:rsidP="00070322">
      <w:pPr>
        <w:rPr>
          <w:bCs/>
          <w:i/>
        </w:rPr>
      </w:pPr>
    </w:p>
    <w:p w14:paraId="32E7A798" w14:textId="7C153D38" w:rsidR="00BC5289" w:rsidRDefault="00BC5289" w:rsidP="00070322">
      <w:pPr>
        <w:rPr>
          <w:bCs/>
          <w:i/>
        </w:rPr>
      </w:pPr>
    </w:p>
    <w:p w14:paraId="3D5A67BF" w14:textId="472D922C" w:rsidR="00BC5289" w:rsidRDefault="00BC5289" w:rsidP="00070322">
      <w:pPr>
        <w:rPr>
          <w:bCs/>
          <w:i/>
        </w:rPr>
      </w:pPr>
    </w:p>
    <w:p w14:paraId="62D04B32" w14:textId="1BEA1563" w:rsidR="00070322" w:rsidRPr="00070322" w:rsidRDefault="00070322" w:rsidP="00070322">
      <w:pPr>
        <w:rPr>
          <w:b/>
          <w:iCs/>
        </w:rPr>
      </w:pPr>
      <w:r w:rsidRPr="00070322">
        <w:rPr>
          <w:b/>
          <w:iCs/>
        </w:rPr>
        <w:lastRenderedPageBreak/>
        <w:t>6.0</w:t>
      </w:r>
      <w:r w:rsidRPr="00070322">
        <w:rPr>
          <w:b/>
          <w:iCs/>
        </w:rPr>
        <w:tab/>
        <w:t>CIL Charging Maps</w:t>
      </w:r>
    </w:p>
    <w:p w14:paraId="7E432F28" w14:textId="77777777" w:rsidR="00070322" w:rsidRPr="00070322" w:rsidRDefault="00070322" w:rsidP="00070322">
      <w:pPr>
        <w:rPr>
          <w:bCs/>
          <w:iCs/>
        </w:rPr>
      </w:pPr>
    </w:p>
    <w:p w14:paraId="66DA6048" w14:textId="4DED5E83" w:rsidR="00070322" w:rsidRDefault="00070322" w:rsidP="00070322">
      <w:pPr>
        <w:rPr>
          <w:bCs/>
          <w:iCs/>
        </w:rPr>
      </w:pPr>
      <w:r>
        <w:rPr>
          <w:bCs/>
          <w:iCs/>
        </w:rPr>
        <w:t xml:space="preserve">The </w:t>
      </w:r>
      <w:r w:rsidR="00BC5289">
        <w:rPr>
          <w:bCs/>
          <w:iCs/>
        </w:rPr>
        <w:t xml:space="preserve">proposed </w:t>
      </w:r>
      <w:r>
        <w:rPr>
          <w:bCs/>
          <w:iCs/>
        </w:rPr>
        <w:t xml:space="preserve">Charging Maps are best viewed online and are available </w:t>
      </w:r>
      <w:r w:rsidRPr="005F3F12">
        <w:rPr>
          <w:bCs/>
          <w:iCs/>
        </w:rPr>
        <w:t>here</w:t>
      </w:r>
      <w:r w:rsidR="005F3F12">
        <w:rPr>
          <w:bCs/>
          <w:iCs/>
        </w:rPr>
        <w:t>:</w:t>
      </w:r>
      <w:r w:rsidRPr="005F3F12">
        <w:rPr>
          <w:bCs/>
          <w:iCs/>
        </w:rPr>
        <w:t xml:space="preserve"> </w:t>
      </w:r>
      <w:hyperlink r:id="rId13" w:history="1">
        <w:r w:rsidR="005F3F12" w:rsidRPr="009A3EF7">
          <w:rPr>
            <w:rStyle w:val="Hyperlink"/>
            <w:bCs/>
            <w:iCs/>
          </w:rPr>
          <w:t>https://www.birmingham.gov.uk/info/20181/planning_obligations/62/community_infrastructure_levy_cil</w:t>
        </w:r>
      </w:hyperlink>
    </w:p>
    <w:p w14:paraId="21E5FA1C" w14:textId="77777777" w:rsidR="005F3F12" w:rsidRDefault="005F3F12" w:rsidP="00070322">
      <w:pPr>
        <w:rPr>
          <w:bCs/>
          <w:iCs/>
          <w:color w:val="FF0000"/>
        </w:rPr>
      </w:pPr>
    </w:p>
    <w:p w14:paraId="08CD80FB" w14:textId="7F023563" w:rsidR="00070322" w:rsidRPr="00070322" w:rsidRDefault="00070322" w:rsidP="00070322">
      <w:r w:rsidRPr="00070322">
        <w:rPr>
          <w:rStyle w:val="Heading1Char"/>
          <w:rFonts w:eastAsia="Calibri"/>
          <w:sz w:val="24"/>
          <w:szCs w:val="24"/>
        </w:rPr>
        <w:t>7.0</w:t>
      </w:r>
      <w:r>
        <w:rPr>
          <w:rStyle w:val="Heading1Char"/>
          <w:rFonts w:eastAsia="Calibri"/>
          <w:sz w:val="24"/>
          <w:szCs w:val="24"/>
        </w:rPr>
        <w:tab/>
        <w:t>Infrastructure Funding Statement</w:t>
      </w:r>
    </w:p>
    <w:p w14:paraId="4ED9C6D8" w14:textId="77777777" w:rsidR="00070322" w:rsidRPr="00055BB3" w:rsidRDefault="00070322" w:rsidP="00070322">
      <w:pPr>
        <w:rPr>
          <w:b/>
          <w:bCs/>
        </w:rPr>
      </w:pPr>
    </w:p>
    <w:p w14:paraId="787F396E" w14:textId="49CC8C42" w:rsidR="00070322" w:rsidRDefault="00C01D56" w:rsidP="00070322">
      <w:pPr>
        <w:rPr>
          <w:bCs/>
        </w:rPr>
      </w:pPr>
      <w:r w:rsidRPr="00C01D56">
        <w:rPr>
          <w:bCs/>
        </w:rPr>
        <w:t xml:space="preserve">The Community Infrastructure Levy (CIL) regulations require all local planning authorities that issue a CIL liability notice or </w:t>
      </w:r>
      <w:proofErr w:type="gramStart"/>
      <w:r w:rsidRPr="00C01D56">
        <w:rPr>
          <w:bCs/>
        </w:rPr>
        <w:t>enter into</w:t>
      </w:r>
      <w:proofErr w:type="gramEnd"/>
      <w:r w:rsidRPr="00C01D56">
        <w:rPr>
          <w:bCs/>
        </w:rPr>
        <w:t xml:space="preserve"> section 106 planning obligations during a reporting year to publish an infrastructure funding statement (IFS) at least annually. The infrastructure funding statement should, as a minimum, include the information set out in Schedule 2 to the Community Infrastructure Levy regulations 2010 (as inserted by the 2019 regulations)</w:t>
      </w:r>
      <w:r>
        <w:rPr>
          <w:bCs/>
        </w:rPr>
        <w:t xml:space="preserve"> and our IFS is available </w:t>
      </w:r>
      <w:hyperlink r:id="rId14" w:history="1">
        <w:r w:rsidRPr="00BC5289">
          <w:rPr>
            <w:rStyle w:val="Hyperlink"/>
            <w:bCs/>
          </w:rPr>
          <w:t>h</w:t>
        </w:r>
        <w:bookmarkStart w:id="0" w:name="_GoBack"/>
        <w:bookmarkEnd w:id="0"/>
        <w:r w:rsidRPr="00BC5289">
          <w:rPr>
            <w:rStyle w:val="Hyperlink"/>
            <w:bCs/>
          </w:rPr>
          <w:t>e</w:t>
        </w:r>
        <w:r w:rsidRPr="00BC5289">
          <w:rPr>
            <w:rStyle w:val="Hyperlink"/>
            <w:bCs/>
          </w:rPr>
          <w:t>re</w:t>
        </w:r>
      </w:hyperlink>
    </w:p>
    <w:p w14:paraId="020E1FD6" w14:textId="77777777" w:rsidR="00C01D56" w:rsidRPr="00055BB3" w:rsidRDefault="00C01D56" w:rsidP="00070322">
      <w:pPr>
        <w:rPr>
          <w:bCs/>
        </w:rPr>
      </w:pPr>
    </w:p>
    <w:p w14:paraId="05AD00D8" w14:textId="7D012539" w:rsidR="00070322" w:rsidRPr="00070322" w:rsidRDefault="00070322" w:rsidP="00070322">
      <w:pPr>
        <w:rPr>
          <w:b/>
          <w:bCs/>
        </w:rPr>
      </w:pPr>
      <w:bookmarkStart w:id="1" w:name="_Toc410302615"/>
      <w:r w:rsidRPr="00070322">
        <w:rPr>
          <w:b/>
          <w:bCs/>
        </w:rPr>
        <w:t>8.0 What will be liable for CIL</w:t>
      </w:r>
      <w:bookmarkEnd w:id="1"/>
      <w:r w:rsidRPr="00070322">
        <w:rPr>
          <w:b/>
          <w:bCs/>
        </w:rPr>
        <w:t>?</w:t>
      </w:r>
    </w:p>
    <w:p w14:paraId="59062460" w14:textId="77777777" w:rsidR="00070322" w:rsidRPr="00055BB3" w:rsidRDefault="00070322" w:rsidP="00070322">
      <w:pPr>
        <w:rPr>
          <w:b/>
          <w:bCs/>
          <w:color w:val="FF0000"/>
          <w:lang w:val="en"/>
        </w:rPr>
      </w:pPr>
    </w:p>
    <w:p w14:paraId="5BAE62C5" w14:textId="77777777" w:rsidR="00070322" w:rsidRPr="00055BB3" w:rsidRDefault="00070322" w:rsidP="00070322">
      <w:pPr>
        <w:rPr>
          <w:bCs/>
          <w:lang w:val="en"/>
        </w:rPr>
      </w:pPr>
      <w:r w:rsidRPr="00055BB3">
        <w:rPr>
          <w:bCs/>
          <w:lang w:val="en"/>
        </w:rPr>
        <w:t>CIL may be payable on a development which creates net additional floor space, where the gross internal area of new build exceeds 100</w:t>
      </w:r>
      <w:r>
        <w:rPr>
          <w:bCs/>
          <w:lang w:val="en"/>
        </w:rPr>
        <w:t xml:space="preserve"> </w:t>
      </w:r>
      <w:proofErr w:type="spellStart"/>
      <w:r w:rsidRPr="00055BB3">
        <w:rPr>
          <w:bCs/>
          <w:lang w:val="en"/>
        </w:rPr>
        <w:t>sq</w:t>
      </w:r>
      <w:r>
        <w:rPr>
          <w:bCs/>
          <w:lang w:val="en"/>
        </w:rPr>
        <w:t>.</w:t>
      </w:r>
      <w:r w:rsidRPr="00055BB3">
        <w:rPr>
          <w:bCs/>
          <w:lang w:val="en"/>
        </w:rPr>
        <w:t>m</w:t>
      </w:r>
      <w:proofErr w:type="spellEnd"/>
      <w:r w:rsidRPr="00055BB3">
        <w:rPr>
          <w:bCs/>
          <w:lang w:val="en"/>
        </w:rPr>
        <w:t xml:space="preserve">. CIL applies to all types of planning consent, including Local Development Orders and </w:t>
      </w:r>
      <w:proofErr w:type="spellStart"/>
      <w:r w:rsidRPr="00055BB3">
        <w:rPr>
          <w:bCs/>
          <w:lang w:val="en"/>
        </w:rPr>
        <w:t>Neighbourhood</w:t>
      </w:r>
      <w:proofErr w:type="spellEnd"/>
      <w:r w:rsidRPr="00055BB3">
        <w:rPr>
          <w:bCs/>
          <w:lang w:val="en"/>
        </w:rPr>
        <w:t xml:space="preserve"> Development Orders. </w:t>
      </w:r>
    </w:p>
    <w:p w14:paraId="1F1BB736" w14:textId="77777777" w:rsidR="00070322" w:rsidRPr="00055BB3" w:rsidRDefault="00070322" w:rsidP="00070322">
      <w:pPr>
        <w:pStyle w:val="Heading1"/>
        <w:rPr>
          <w:sz w:val="24"/>
        </w:rPr>
      </w:pPr>
      <w:bookmarkStart w:id="2" w:name="_Toc410302616"/>
      <w:r w:rsidRPr="00055BB3">
        <w:rPr>
          <w:sz w:val="24"/>
        </w:rPr>
        <w:t>9.0 What will be exempt from CIL?</w:t>
      </w:r>
      <w:bookmarkEnd w:id="2"/>
      <w:r w:rsidRPr="00055BB3">
        <w:rPr>
          <w:sz w:val="24"/>
        </w:rPr>
        <w:t xml:space="preserve"> </w:t>
      </w:r>
    </w:p>
    <w:p w14:paraId="0550480C" w14:textId="77777777" w:rsidR="00070322" w:rsidRPr="00055BB3" w:rsidRDefault="00070322" w:rsidP="00070322">
      <w:pPr>
        <w:rPr>
          <w:bCs/>
        </w:rPr>
      </w:pPr>
    </w:p>
    <w:p w14:paraId="73E89506" w14:textId="77777777" w:rsidR="00070322" w:rsidRPr="00055BB3" w:rsidRDefault="00070322" w:rsidP="00070322">
      <w:pPr>
        <w:numPr>
          <w:ilvl w:val="0"/>
          <w:numId w:val="2"/>
        </w:numPr>
        <w:rPr>
          <w:bCs/>
        </w:rPr>
      </w:pPr>
      <w:r w:rsidRPr="00055BB3">
        <w:rPr>
          <w:bCs/>
        </w:rPr>
        <w:t>Developments of less than 100</w:t>
      </w:r>
      <w:r>
        <w:rPr>
          <w:bCs/>
        </w:rPr>
        <w:t xml:space="preserve"> </w:t>
      </w:r>
      <w:proofErr w:type="spellStart"/>
      <w:r w:rsidRPr="00055BB3">
        <w:rPr>
          <w:bCs/>
        </w:rPr>
        <w:t>sq</w:t>
      </w:r>
      <w:r>
        <w:rPr>
          <w:bCs/>
        </w:rPr>
        <w:t>.</w:t>
      </w:r>
      <w:r w:rsidRPr="00055BB3">
        <w:rPr>
          <w:bCs/>
        </w:rPr>
        <w:t>m</w:t>
      </w:r>
      <w:proofErr w:type="spellEnd"/>
      <w:r>
        <w:rPr>
          <w:bCs/>
        </w:rPr>
        <w:t>.</w:t>
      </w:r>
      <w:r w:rsidRPr="00055BB3">
        <w:rPr>
          <w:bCs/>
        </w:rPr>
        <w:t>, unless it is a new house or flat. If it is a new house or flat, CIL is payable.</w:t>
      </w:r>
    </w:p>
    <w:p w14:paraId="3CAA0EE0" w14:textId="77777777" w:rsidR="00070322" w:rsidRPr="00055BB3" w:rsidRDefault="00070322" w:rsidP="00070322">
      <w:pPr>
        <w:numPr>
          <w:ilvl w:val="0"/>
          <w:numId w:val="2"/>
        </w:numPr>
        <w:rPr>
          <w:bCs/>
        </w:rPr>
      </w:pPr>
      <w:r w:rsidRPr="00055BB3">
        <w:rPr>
          <w:bCs/>
        </w:rPr>
        <w:t>Houses, flats, residential extensions or residential annexes which are built by self-builders</w:t>
      </w:r>
    </w:p>
    <w:p w14:paraId="63097F6A" w14:textId="77777777" w:rsidR="00070322" w:rsidRPr="00055BB3" w:rsidRDefault="00070322" w:rsidP="00070322">
      <w:pPr>
        <w:numPr>
          <w:ilvl w:val="0"/>
          <w:numId w:val="2"/>
        </w:numPr>
        <w:rPr>
          <w:bCs/>
        </w:rPr>
      </w:pPr>
      <w:r w:rsidRPr="00055BB3">
        <w:rPr>
          <w:bCs/>
        </w:rPr>
        <w:t>Social housing</w:t>
      </w:r>
    </w:p>
    <w:p w14:paraId="7E69EFC1" w14:textId="77777777" w:rsidR="00070322" w:rsidRPr="00055BB3" w:rsidRDefault="00070322" w:rsidP="00070322">
      <w:pPr>
        <w:numPr>
          <w:ilvl w:val="0"/>
          <w:numId w:val="2"/>
        </w:numPr>
        <w:rPr>
          <w:bCs/>
        </w:rPr>
      </w:pPr>
      <w:r w:rsidRPr="00055BB3">
        <w:rPr>
          <w:bCs/>
        </w:rPr>
        <w:t>Charitable development</w:t>
      </w:r>
    </w:p>
    <w:p w14:paraId="411FAEAF" w14:textId="77777777" w:rsidR="00070322" w:rsidRPr="00055BB3" w:rsidRDefault="00070322" w:rsidP="00070322">
      <w:pPr>
        <w:numPr>
          <w:ilvl w:val="0"/>
          <w:numId w:val="2"/>
        </w:numPr>
        <w:rPr>
          <w:bCs/>
        </w:rPr>
      </w:pPr>
      <w:r w:rsidRPr="00055BB3">
        <w:rPr>
          <w:bCs/>
        </w:rPr>
        <w:t>Buildings into which you do not normally go</w:t>
      </w:r>
    </w:p>
    <w:p w14:paraId="777D34E1" w14:textId="77777777" w:rsidR="00070322" w:rsidRPr="00055BB3" w:rsidRDefault="00070322" w:rsidP="00070322">
      <w:pPr>
        <w:numPr>
          <w:ilvl w:val="0"/>
          <w:numId w:val="2"/>
        </w:numPr>
        <w:rPr>
          <w:bCs/>
        </w:rPr>
      </w:pPr>
      <w:r w:rsidRPr="00055BB3">
        <w:rPr>
          <w:bCs/>
        </w:rPr>
        <w:t>Buildings where you only go intermittently, for inspecting/maintaining fixed plant, machinery etc</w:t>
      </w:r>
      <w:r>
        <w:rPr>
          <w:bCs/>
        </w:rPr>
        <w:t>.</w:t>
      </w:r>
    </w:p>
    <w:p w14:paraId="19629C9E" w14:textId="77777777" w:rsidR="00070322" w:rsidRPr="00055BB3" w:rsidRDefault="00070322" w:rsidP="00070322">
      <w:pPr>
        <w:numPr>
          <w:ilvl w:val="0"/>
          <w:numId w:val="2"/>
        </w:numPr>
        <w:rPr>
          <w:bCs/>
        </w:rPr>
      </w:pPr>
      <w:r w:rsidRPr="00055BB3">
        <w:rPr>
          <w:bCs/>
        </w:rPr>
        <w:t>Any structures which aren’t buildings such as pylons</w:t>
      </w:r>
    </w:p>
    <w:p w14:paraId="771F1D0E" w14:textId="77777777" w:rsidR="00070322" w:rsidRPr="00055BB3" w:rsidRDefault="00070322" w:rsidP="00070322">
      <w:pPr>
        <w:numPr>
          <w:ilvl w:val="0"/>
          <w:numId w:val="2"/>
        </w:numPr>
        <w:rPr>
          <w:bCs/>
        </w:rPr>
      </w:pPr>
      <w:r w:rsidRPr="00055BB3">
        <w:rPr>
          <w:bCs/>
        </w:rPr>
        <w:t>Any development with a £0 charge as defined in the Charging Schedule</w:t>
      </w:r>
    </w:p>
    <w:p w14:paraId="7FAAA31C" w14:textId="77777777" w:rsidR="00070322" w:rsidRPr="00055BB3" w:rsidRDefault="00070322" w:rsidP="00070322">
      <w:pPr>
        <w:numPr>
          <w:ilvl w:val="0"/>
          <w:numId w:val="2"/>
        </w:numPr>
        <w:rPr>
          <w:b/>
          <w:bCs/>
        </w:rPr>
      </w:pPr>
      <w:r w:rsidRPr="00055BB3">
        <w:rPr>
          <w:bCs/>
        </w:rPr>
        <w:t>Vacant buildings b</w:t>
      </w:r>
      <w:r>
        <w:rPr>
          <w:bCs/>
        </w:rPr>
        <w:t>r</w:t>
      </w:r>
      <w:r w:rsidRPr="00055BB3">
        <w:rPr>
          <w:bCs/>
        </w:rPr>
        <w:t>ought back into the same use</w:t>
      </w:r>
    </w:p>
    <w:p w14:paraId="690E37E8" w14:textId="11386DBB" w:rsidR="00070322" w:rsidRPr="00C01D56" w:rsidRDefault="00070322" w:rsidP="00CC0315">
      <w:pPr>
        <w:numPr>
          <w:ilvl w:val="0"/>
          <w:numId w:val="2"/>
        </w:numPr>
        <w:rPr>
          <w:b/>
          <w:bCs/>
        </w:rPr>
      </w:pPr>
      <w:r w:rsidRPr="00C01D56">
        <w:rPr>
          <w:bCs/>
        </w:rPr>
        <w:t xml:space="preserve">Mezzanine floors of less than 200 </w:t>
      </w:r>
      <w:proofErr w:type="spellStart"/>
      <w:r w:rsidRPr="00C01D56">
        <w:rPr>
          <w:bCs/>
        </w:rPr>
        <w:t>sq.m</w:t>
      </w:r>
      <w:proofErr w:type="spellEnd"/>
      <w:r w:rsidRPr="00C01D56">
        <w:rPr>
          <w:bCs/>
        </w:rPr>
        <w:t>. unless they form part of a wider planning permission providing other works.</w:t>
      </w:r>
    </w:p>
    <w:p w14:paraId="6183A64E" w14:textId="77777777" w:rsidR="00070322" w:rsidRPr="00055BB3" w:rsidRDefault="00070322" w:rsidP="00070322">
      <w:pPr>
        <w:pStyle w:val="Heading1"/>
        <w:rPr>
          <w:sz w:val="24"/>
        </w:rPr>
      </w:pPr>
      <w:bookmarkStart w:id="3" w:name="_Toc410302617"/>
      <w:r w:rsidRPr="00055BB3">
        <w:rPr>
          <w:sz w:val="24"/>
        </w:rPr>
        <w:t>10.0 Calculation</w:t>
      </w:r>
      <w:bookmarkEnd w:id="3"/>
    </w:p>
    <w:p w14:paraId="128FF52D" w14:textId="77777777" w:rsidR="00070322" w:rsidRPr="00055BB3" w:rsidRDefault="00070322" w:rsidP="00070322">
      <w:pPr>
        <w:rPr>
          <w:bCs/>
        </w:rPr>
      </w:pPr>
    </w:p>
    <w:p w14:paraId="37BD75F9" w14:textId="77777777" w:rsidR="00070322" w:rsidRPr="00055BB3" w:rsidRDefault="00070322" w:rsidP="00070322">
      <w:pPr>
        <w:rPr>
          <w:bCs/>
        </w:rPr>
      </w:pPr>
      <w:r w:rsidRPr="00055BB3">
        <w:rPr>
          <w:bCs/>
        </w:rPr>
        <w:t>The formula used to calculate CIL liability is defined within the CIL regulations. This involves multiplying our CIL charging rate by the net increase in Gross Internal Area (GIA) and adjusting for inflation.</w:t>
      </w:r>
    </w:p>
    <w:p w14:paraId="7A6394E4" w14:textId="77777777" w:rsidR="00070322" w:rsidRPr="00055BB3" w:rsidRDefault="00070322" w:rsidP="00070322">
      <w:pPr>
        <w:rPr>
          <w:bCs/>
        </w:rPr>
      </w:pPr>
    </w:p>
    <w:p w14:paraId="5953DAF3" w14:textId="77777777" w:rsidR="00070322" w:rsidRPr="00055BB3" w:rsidRDefault="00070322" w:rsidP="00070322">
      <w:pPr>
        <w:jc w:val="center"/>
        <w:rPr>
          <w:b/>
          <w:bCs/>
          <w:u w:val="single"/>
        </w:rPr>
      </w:pPr>
      <w:proofErr w:type="gramStart"/>
      <w:r w:rsidRPr="00055BB3">
        <w:rPr>
          <w:b/>
          <w:bCs/>
          <w:u w:val="single"/>
        </w:rPr>
        <w:t>R  x</w:t>
      </w:r>
      <w:proofErr w:type="gramEnd"/>
      <w:r w:rsidRPr="00055BB3">
        <w:rPr>
          <w:b/>
          <w:bCs/>
          <w:u w:val="single"/>
        </w:rPr>
        <w:t xml:space="preserve">  A  x  Ip</w:t>
      </w:r>
    </w:p>
    <w:p w14:paraId="01037A51" w14:textId="77777777" w:rsidR="00070322" w:rsidRPr="00055BB3" w:rsidRDefault="00070322" w:rsidP="00070322">
      <w:pPr>
        <w:jc w:val="center"/>
        <w:rPr>
          <w:b/>
          <w:bCs/>
        </w:rPr>
      </w:pPr>
      <w:proofErr w:type="spellStart"/>
      <w:r w:rsidRPr="00055BB3">
        <w:rPr>
          <w:b/>
          <w:bCs/>
        </w:rPr>
        <w:t>Ic</w:t>
      </w:r>
      <w:proofErr w:type="spellEnd"/>
    </w:p>
    <w:p w14:paraId="7D782753" w14:textId="77777777" w:rsidR="00070322" w:rsidRPr="00055BB3" w:rsidRDefault="00070322" w:rsidP="00070322">
      <w:pPr>
        <w:jc w:val="center"/>
        <w:rPr>
          <w:b/>
          <w:bCs/>
        </w:rPr>
      </w:pPr>
    </w:p>
    <w:p w14:paraId="05899A50" w14:textId="77777777" w:rsidR="00070322" w:rsidRPr="00055BB3" w:rsidRDefault="00070322" w:rsidP="00070322">
      <w:pPr>
        <w:rPr>
          <w:bCs/>
        </w:rPr>
      </w:pPr>
      <w:r w:rsidRPr="00055BB3">
        <w:rPr>
          <w:b/>
          <w:bCs/>
        </w:rPr>
        <w:lastRenderedPageBreak/>
        <w:t xml:space="preserve">R – </w:t>
      </w:r>
      <w:r w:rsidRPr="00055BB3">
        <w:rPr>
          <w:bCs/>
        </w:rPr>
        <w:t>the CIL rate for that use</w:t>
      </w:r>
    </w:p>
    <w:p w14:paraId="0AF19129" w14:textId="77777777" w:rsidR="00070322" w:rsidRPr="00055BB3" w:rsidRDefault="00070322" w:rsidP="00070322">
      <w:pPr>
        <w:rPr>
          <w:bCs/>
        </w:rPr>
      </w:pPr>
    </w:p>
    <w:p w14:paraId="705A77CE" w14:textId="77777777" w:rsidR="00070322" w:rsidRPr="00055BB3" w:rsidRDefault="00070322" w:rsidP="00070322">
      <w:pPr>
        <w:rPr>
          <w:bCs/>
        </w:rPr>
      </w:pPr>
      <w:r w:rsidRPr="00055BB3">
        <w:rPr>
          <w:b/>
          <w:bCs/>
        </w:rPr>
        <w:t>A</w:t>
      </w:r>
      <w:r w:rsidRPr="00055BB3">
        <w:rPr>
          <w:bCs/>
        </w:rPr>
        <w:t xml:space="preserve"> – the deemed net area chargeable at rate R </w:t>
      </w:r>
    </w:p>
    <w:p w14:paraId="59B31697" w14:textId="77777777" w:rsidR="00070322" w:rsidRPr="00055BB3" w:rsidRDefault="00070322" w:rsidP="00070322">
      <w:pPr>
        <w:rPr>
          <w:bCs/>
        </w:rPr>
      </w:pPr>
    </w:p>
    <w:p w14:paraId="46768954" w14:textId="77777777" w:rsidR="00070322" w:rsidRPr="00055BB3" w:rsidRDefault="00070322" w:rsidP="00070322">
      <w:pPr>
        <w:rPr>
          <w:bCs/>
        </w:rPr>
      </w:pPr>
      <w:r w:rsidRPr="00055BB3">
        <w:rPr>
          <w:b/>
          <w:bCs/>
        </w:rPr>
        <w:t>Ip</w:t>
      </w:r>
      <w:r w:rsidRPr="00055BB3">
        <w:rPr>
          <w:bCs/>
        </w:rPr>
        <w:t xml:space="preserve"> – the index figure for the year in which planning permission was granted</w:t>
      </w:r>
    </w:p>
    <w:p w14:paraId="4C7F39A0" w14:textId="77777777" w:rsidR="00070322" w:rsidRPr="00055BB3" w:rsidRDefault="00070322" w:rsidP="00070322">
      <w:pPr>
        <w:rPr>
          <w:bCs/>
        </w:rPr>
      </w:pPr>
    </w:p>
    <w:p w14:paraId="47D28E5C" w14:textId="77777777" w:rsidR="00070322" w:rsidRPr="00055BB3" w:rsidRDefault="00070322" w:rsidP="00070322">
      <w:pPr>
        <w:rPr>
          <w:bCs/>
        </w:rPr>
      </w:pPr>
      <w:proofErr w:type="spellStart"/>
      <w:r w:rsidRPr="00055BB3">
        <w:rPr>
          <w:b/>
          <w:bCs/>
        </w:rPr>
        <w:t>Ic</w:t>
      </w:r>
      <w:proofErr w:type="spellEnd"/>
      <w:r w:rsidRPr="00055BB3">
        <w:rPr>
          <w:bCs/>
        </w:rPr>
        <w:t xml:space="preserve"> – the index figure for the year in which the charging schedule took effect</w:t>
      </w:r>
    </w:p>
    <w:p w14:paraId="73AC3417" w14:textId="77777777" w:rsidR="00070322" w:rsidRPr="00055BB3" w:rsidRDefault="00070322" w:rsidP="00070322">
      <w:pPr>
        <w:rPr>
          <w:bCs/>
        </w:rPr>
      </w:pPr>
    </w:p>
    <w:p w14:paraId="305739F0" w14:textId="3801AC7A" w:rsidR="00070322" w:rsidRPr="00055BB3" w:rsidRDefault="00070322" w:rsidP="00070322">
      <w:pPr>
        <w:rPr>
          <w:bCs/>
        </w:rPr>
      </w:pPr>
      <w:r w:rsidRPr="00055BB3">
        <w:rPr>
          <w:bCs/>
        </w:rPr>
        <w:t xml:space="preserve">The All-In Tender Price Index is an inflation index published by the Royal Institute of Chartered Surveyors Building Cost Information Service and </w:t>
      </w:r>
      <w:r w:rsidR="00C01D56">
        <w:rPr>
          <w:bCs/>
        </w:rPr>
        <w:t xml:space="preserve">is available </w:t>
      </w:r>
      <w:hyperlink r:id="rId15" w:history="1">
        <w:r w:rsidR="00C01D56" w:rsidRPr="00C01D56">
          <w:rPr>
            <w:rStyle w:val="Hyperlink"/>
            <w:bCs/>
          </w:rPr>
          <w:t>he</w:t>
        </w:r>
        <w:r w:rsidR="00C01D56" w:rsidRPr="00C01D56">
          <w:rPr>
            <w:rStyle w:val="Hyperlink"/>
            <w:bCs/>
          </w:rPr>
          <w:t>r</w:t>
        </w:r>
        <w:r w:rsidR="00C01D56" w:rsidRPr="00C01D56">
          <w:rPr>
            <w:rStyle w:val="Hyperlink"/>
            <w:bCs/>
          </w:rPr>
          <w:t>e.</w:t>
        </w:r>
      </w:hyperlink>
    </w:p>
    <w:p w14:paraId="1D566F1A" w14:textId="77777777" w:rsidR="00070322" w:rsidRPr="00055BB3" w:rsidRDefault="00070322" w:rsidP="00070322">
      <w:pPr>
        <w:rPr>
          <w:bCs/>
        </w:rPr>
      </w:pPr>
    </w:p>
    <w:p w14:paraId="17F0F3CB" w14:textId="77777777" w:rsidR="00070322" w:rsidRPr="00055BB3" w:rsidRDefault="00070322" w:rsidP="00070322">
      <w:pPr>
        <w:rPr>
          <w:bCs/>
        </w:rPr>
      </w:pPr>
      <w:r w:rsidRPr="00055BB3">
        <w:rPr>
          <w:bCs/>
        </w:rPr>
        <w:t>CIL calculations leading to a liability of less than £50 are treated as zero rated and are not payable.</w:t>
      </w:r>
    </w:p>
    <w:p w14:paraId="11C560D5" w14:textId="77777777" w:rsidR="00070322" w:rsidRPr="00055BB3" w:rsidRDefault="00070322" w:rsidP="00070322">
      <w:pPr>
        <w:rPr>
          <w:bCs/>
        </w:rPr>
      </w:pPr>
    </w:p>
    <w:p w14:paraId="5C2073B0" w14:textId="1C177DB5" w:rsidR="00070322" w:rsidRPr="00055BB3" w:rsidRDefault="00070322" w:rsidP="00070322">
      <w:pPr>
        <w:rPr>
          <w:bCs/>
        </w:rPr>
      </w:pPr>
      <w:r w:rsidRPr="00055BB3">
        <w:rPr>
          <w:bCs/>
        </w:rPr>
        <w:t xml:space="preserve">Further detail on calculating the amount due is contained in the </w:t>
      </w:r>
      <w:hyperlink r:id="rId16" w:history="1">
        <w:r w:rsidRPr="00055BB3">
          <w:rPr>
            <w:rStyle w:val="Hyperlink"/>
            <w:bCs/>
          </w:rPr>
          <w:t>CIL regulations</w:t>
        </w:r>
      </w:hyperlink>
      <w:r w:rsidRPr="00055BB3">
        <w:rPr>
          <w:bCs/>
        </w:rPr>
        <w:t>.</w:t>
      </w:r>
    </w:p>
    <w:p w14:paraId="64031C80" w14:textId="77777777" w:rsidR="00070322" w:rsidRPr="00055BB3" w:rsidRDefault="00070322" w:rsidP="00070322">
      <w:pPr>
        <w:rPr>
          <w:bCs/>
        </w:rPr>
      </w:pPr>
    </w:p>
    <w:p w14:paraId="6D011FAA" w14:textId="442C6BBB" w:rsidR="00070322" w:rsidRPr="00055BB3" w:rsidRDefault="00070322" w:rsidP="00070322">
      <w:pPr>
        <w:rPr>
          <w:b/>
          <w:bCs/>
        </w:rPr>
      </w:pPr>
      <w:r w:rsidRPr="00055BB3">
        <w:rPr>
          <w:bCs/>
        </w:rPr>
        <w:t xml:space="preserve">If you need any help or advice calculating your CIL liability, please contact </w:t>
      </w:r>
      <w:r w:rsidRPr="006C1E80">
        <w:t xml:space="preserve">Hayley </w:t>
      </w:r>
      <w:r w:rsidR="00C01D56">
        <w:t>Claybrook</w:t>
      </w:r>
      <w:r>
        <w:t xml:space="preserve"> at </w:t>
      </w:r>
      <w:hyperlink r:id="rId17" w:history="1">
        <w:r w:rsidR="00C01D56" w:rsidRPr="00FD4F6B">
          <w:rPr>
            <w:rStyle w:val="Hyperlink"/>
          </w:rPr>
          <w:t>hayley.claybrook@birmingham.gov.uk</w:t>
        </w:r>
      </w:hyperlink>
      <w:r>
        <w:t xml:space="preserve"> or </w:t>
      </w:r>
      <w:r w:rsidR="00C01D56" w:rsidRPr="00C01D56">
        <w:rPr>
          <w:rFonts w:cs="Arial"/>
          <w:noProof/>
          <w:lang w:eastAsia="en-GB"/>
        </w:rPr>
        <w:t>07912 451258</w:t>
      </w:r>
      <w:r w:rsidR="00C01D56">
        <w:rPr>
          <w:rFonts w:cs="Arial"/>
          <w:noProof/>
          <w:lang w:eastAsia="en-GB"/>
        </w:rPr>
        <w:t>.</w:t>
      </w:r>
    </w:p>
    <w:p w14:paraId="5F28A282" w14:textId="77777777" w:rsidR="00070322" w:rsidRPr="00055BB3" w:rsidRDefault="00070322" w:rsidP="00070322">
      <w:pPr>
        <w:pStyle w:val="Heading1"/>
        <w:rPr>
          <w:sz w:val="24"/>
        </w:rPr>
      </w:pPr>
      <w:bookmarkStart w:id="4" w:name="_Toc410302618"/>
      <w:r w:rsidRPr="00055BB3">
        <w:rPr>
          <w:sz w:val="24"/>
        </w:rPr>
        <w:t>11.0 Who pays?</w:t>
      </w:r>
      <w:bookmarkEnd w:id="4"/>
    </w:p>
    <w:p w14:paraId="34EF48D8" w14:textId="77777777" w:rsidR="00070322" w:rsidRPr="00055BB3" w:rsidRDefault="00070322" w:rsidP="00070322"/>
    <w:p w14:paraId="5ACA445C" w14:textId="77777777" w:rsidR="00070322" w:rsidRPr="00055BB3" w:rsidRDefault="00070322" w:rsidP="00070322">
      <w:r w:rsidRPr="00055BB3">
        <w:t>Landowners are liable for payment of CIL, but other parties can take on the liability to pay their CIL contribution. If no one assumes liability, or payment is not forthcoming from other parties, the liability will automatically default to the landowner.</w:t>
      </w:r>
    </w:p>
    <w:p w14:paraId="412D34AF" w14:textId="30EB4461" w:rsidR="00070322" w:rsidRDefault="00070322" w:rsidP="00070322">
      <w:pPr>
        <w:pStyle w:val="Heading1"/>
        <w:rPr>
          <w:sz w:val="24"/>
        </w:rPr>
      </w:pPr>
      <w:bookmarkStart w:id="5" w:name="_Toc410302619"/>
      <w:r w:rsidRPr="00055BB3">
        <w:rPr>
          <w:sz w:val="24"/>
        </w:rPr>
        <w:t xml:space="preserve">12.0 </w:t>
      </w:r>
      <w:r w:rsidRPr="00C01D56">
        <w:rPr>
          <w:sz w:val="24"/>
        </w:rPr>
        <w:t>When and how will I pay</w:t>
      </w:r>
      <w:r w:rsidRPr="00055BB3">
        <w:rPr>
          <w:sz w:val="24"/>
        </w:rPr>
        <w:t>?</w:t>
      </w:r>
      <w:bookmarkEnd w:id="5"/>
      <w:r w:rsidRPr="00055BB3">
        <w:rPr>
          <w:sz w:val="24"/>
        </w:rPr>
        <w:t xml:space="preserve"> </w:t>
      </w:r>
    </w:p>
    <w:p w14:paraId="7E4AF982" w14:textId="77777777" w:rsidR="00070322" w:rsidRDefault="00070322" w:rsidP="00070322"/>
    <w:p w14:paraId="1D52EB90" w14:textId="77777777" w:rsidR="00070322" w:rsidRDefault="00070322" w:rsidP="00070322">
      <w:pPr>
        <w:rPr>
          <w:bCs/>
          <w:lang w:val="en"/>
        </w:rPr>
      </w:pPr>
      <w:r w:rsidRPr="00055BB3">
        <w:rPr>
          <w:bCs/>
          <w:lang w:val="en"/>
        </w:rPr>
        <w:t xml:space="preserve">• When planning permission is granted through a decision notice (or appeal decision) on or after the date of publication of a CIL Charging Schedule for that area; or </w:t>
      </w:r>
      <w:r w:rsidRPr="00055BB3">
        <w:rPr>
          <w:bCs/>
          <w:lang w:val="en"/>
        </w:rPr>
        <w:br/>
        <w:t xml:space="preserve">• When development </w:t>
      </w:r>
      <w:r>
        <w:rPr>
          <w:bCs/>
          <w:lang w:val="en"/>
        </w:rPr>
        <w:t xml:space="preserve">is </w:t>
      </w:r>
      <w:r w:rsidRPr="00055BB3">
        <w:rPr>
          <w:bCs/>
          <w:lang w:val="en"/>
        </w:rPr>
        <w:t>permitted by a ‘general consen</w:t>
      </w:r>
      <w:r>
        <w:rPr>
          <w:bCs/>
          <w:lang w:val="en"/>
        </w:rPr>
        <w:t>t’ (e.g. permitted development).</w:t>
      </w:r>
    </w:p>
    <w:p w14:paraId="1123A631" w14:textId="77777777" w:rsidR="00070322" w:rsidRPr="00055BB3" w:rsidRDefault="00070322" w:rsidP="00070322">
      <w:pPr>
        <w:rPr>
          <w:bCs/>
          <w:lang w:val="en"/>
        </w:rPr>
      </w:pPr>
    </w:p>
    <w:p w14:paraId="1FAB6617" w14:textId="7CAD08A7" w:rsidR="00070322" w:rsidRPr="001F3364" w:rsidRDefault="00070322" w:rsidP="00070322">
      <w:r w:rsidRPr="001F3364">
        <w:t xml:space="preserve">The </w:t>
      </w:r>
      <w:r w:rsidR="00C01D56">
        <w:t xml:space="preserve">2022 </w:t>
      </w:r>
      <w:r>
        <w:t xml:space="preserve">CIL </w:t>
      </w:r>
      <w:r w:rsidRPr="001F3364">
        <w:t>adoption date will be published on our website once it has been agreed and approved and all applications validated after the published adoption date will be liable for CIL.</w:t>
      </w:r>
    </w:p>
    <w:p w14:paraId="0D78545A" w14:textId="77777777" w:rsidR="00070322" w:rsidRPr="00055BB3" w:rsidRDefault="00070322" w:rsidP="00070322">
      <w:pPr>
        <w:rPr>
          <w:bCs/>
          <w:lang w:val="en"/>
        </w:rPr>
      </w:pPr>
    </w:p>
    <w:p w14:paraId="5C48CBEC" w14:textId="77777777" w:rsidR="00070322" w:rsidRPr="00055BB3" w:rsidRDefault="00070322" w:rsidP="00070322">
      <w:pPr>
        <w:rPr>
          <w:bCs/>
          <w:lang w:val="en"/>
        </w:rPr>
      </w:pPr>
      <w:r w:rsidRPr="00055BB3">
        <w:rPr>
          <w:bCs/>
          <w:lang w:val="en"/>
        </w:rPr>
        <w:t xml:space="preserve">There are </w:t>
      </w:r>
      <w:proofErr w:type="gramStart"/>
      <w:r w:rsidRPr="00055BB3">
        <w:rPr>
          <w:bCs/>
          <w:lang w:val="en"/>
        </w:rPr>
        <w:t>a number of</w:t>
      </w:r>
      <w:proofErr w:type="gramEnd"/>
      <w:r w:rsidRPr="00055BB3">
        <w:rPr>
          <w:bCs/>
          <w:lang w:val="en"/>
        </w:rPr>
        <w:t xml:space="preserve"> stages in the CIL collection process which we must follow:</w:t>
      </w:r>
    </w:p>
    <w:p w14:paraId="6FC404A8" w14:textId="3B54228A" w:rsidR="00070322" w:rsidRPr="00055BB3" w:rsidRDefault="00070322" w:rsidP="00070322">
      <w:pPr>
        <w:numPr>
          <w:ilvl w:val="0"/>
          <w:numId w:val="3"/>
        </w:numPr>
        <w:rPr>
          <w:bCs/>
          <w:lang w:val="en"/>
        </w:rPr>
      </w:pPr>
      <w:r w:rsidRPr="00055BB3">
        <w:rPr>
          <w:bCs/>
          <w:lang w:val="en"/>
        </w:rPr>
        <w:t>If you are applying for planning permission, you must include a completed copy of the</w:t>
      </w:r>
      <w:r w:rsidRPr="00055BB3">
        <w:rPr>
          <w:bCs/>
          <w:color w:val="FF0000"/>
          <w:lang w:val="en"/>
        </w:rPr>
        <w:t xml:space="preserve"> </w:t>
      </w:r>
      <w:hyperlink r:id="rId18" w:history="1">
        <w:r w:rsidRPr="00055BB3">
          <w:rPr>
            <w:rStyle w:val="Hyperlink"/>
            <w:bCs/>
            <w:lang w:val="en"/>
          </w:rPr>
          <w:t>Additional CIL Information Form</w:t>
        </w:r>
      </w:hyperlink>
      <w:r w:rsidRPr="00055BB3">
        <w:rPr>
          <w:bCs/>
          <w:lang w:val="en"/>
        </w:rPr>
        <w:t xml:space="preserve"> with your application to help us calculate the sum payable</w:t>
      </w:r>
    </w:p>
    <w:p w14:paraId="4DF39EC3" w14:textId="75127FEE" w:rsidR="00070322" w:rsidRPr="00055BB3" w:rsidRDefault="00070322" w:rsidP="00070322">
      <w:pPr>
        <w:numPr>
          <w:ilvl w:val="0"/>
          <w:numId w:val="3"/>
        </w:numPr>
        <w:rPr>
          <w:bCs/>
          <w:lang w:val="en"/>
        </w:rPr>
      </w:pPr>
      <w:r w:rsidRPr="00055BB3">
        <w:rPr>
          <w:bCs/>
          <w:lang w:val="en"/>
        </w:rPr>
        <w:t>If your development is granted planning permission by way of a general consent (such as G</w:t>
      </w:r>
      <w:r>
        <w:rPr>
          <w:bCs/>
          <w:lang w:val="en"/>
        </w:rPr>
        <w:t xml:space="preserve">eneral </w:t>
      </w:r>
      <w:r w:rsidRPr="00055BB3">
        <w:rPr>
          <w:bCs/>
          <w:lang w:val="en"/>
        </w:rPr>
        <w:t>P</w:t>
      </w:r>
      <w:r>
        <w:rPr>
          <w:bCs/>
          <w:lang w:val="en"/>
        </w:rPr>
        <w:t xml:space="preserve">ermitted </w:t>
      </w:r>
      <w:r w:rsidRPr="00055BB3">
        <w:rPr>
          <w:bCs/>
          <w:lang w:val="en"/>
        </w:rPr>
        <w:t>D</w:t>
      </w:r>
      <w:r>
        <w:rPr>
          <w:bCs/>
          <w:lang w:val="en"/>
        </w:rPr>
        <w:t xml:space="preserve">evelopment </w:t>
      </w:r>
      <w:r w:rsidRPr="00055BB3">
        <w:rPr>
          <w:bCs/>
          <w:lang w:val="en"/>
        </w:rPr>
        <w:t>O</w:t>
      </w:r>
      <w:r>
        <w:rPr>
          <w:bCs/>
          <w:lang w:val="en"/>
        </w:rPr>
        <w:t>rders</w:t>
      </w:r>
      <w:r w:rsidRPr="00055BB3">
        <w:rPr>
          <w:bCs/>
          <w:lang w:val="en"/>
        </w:rPr>
        <w:t xml:space="preserve"> or L</w:t>
      </w:r>
      <w:r>
        <w:rPr>
          <w:bCs/>
          <w:lang w:val="en"/>
        </w:rPr>
        <w:t xml:space="preserve">ocal </w:t>
      </w:r>
      <w:r w:rsidRPr="00055BB3">
        <w:rPr>
          <w:bCs/>
          <w:lang w:val="en"/>
        </w:rPr>
        <w:t>D</w:t>
      </w:r>
      <w:r>
        <w:rPr>
          <w:bCs/>
          <w:lang w:val="en"/>
        </w:rPr>
        <w:t xml:space="preserve">evelopment </w:t>
      </w:r>
      <w:r w:rsidRPr="00055BB3">
        <w:rPr>
          <w:bCs/>
          <w:lang w:val="en"/>
        </w:rPr>
        <w:t>O</w:t>
      </w:r>
      <w:r>
        <w:rPr>
          <w:bCs/>
          <w:lang w:val="en"/>
        </w:rPr>
        <w:t>rders</w:t>
      </w:r>
      <w:r w:rsidRPr="00055BB3">
        <w:rPr>
          <w:bCs/>
          <w:lang w:val="en"/>
        </w:rPr>
        <w:t xml:space="preserve">), you must submit a </w:t>
      </w:r>
      <w:hyperlink r:id="rId19" w:history="1">
        <w:r w:rsidRPr="00055BB3">
          <w:rPr>
            <w:rStyle w:val="Hyperlink"/>
            <w:bCs/>
            <w:lang w:val="en"/>
          </w:rPr>
          <w:t>Notice of Chargeable Development</w:t>
        </w:r>
      </w:hyperlink>
      <w:r w:rsidRPr="00055BB3">
        <w:rPr>
          <w:bCs/>
          <w:color w:val="FF0000"/>
          <w:lang w:val="en"/>
        </w:rPr>
        <w:t xml:space="preserve"> </w:t>
      </w:r>
      <w:r w:rsidRPr="00055BB3">
        <w:rPr>
          <w:bCs/>
          <w:lang w:val="en"/>
        </w:rPr>
        <w:t>if the development is liable for CIL</w:t>
      </w:r>
    </w:p>
    <w:p w14:paraId="161E70E4" w14:textId="524D8633" w:rsidR="00070322" w:rsidRPr="00055BB3" w:rsidRDefault="00070322" w:rsidP="00070322">
      <w:pPr>
        <w:numPr>
          <w:ilvl w:val="0"/>
          <w:numId w:val="3"/>
        </w:numPr>
        <w:rPr>
          <w:bCs/>
          <w:lang w:val="en"/>
        </w:rPr>
      </w:pPr>
      <w:r w:rsidRPr="00055BB3">
        <w:rPr>
          <w:bCs/>
          <w:lang w:val="en"/>
        </w:rPr>
        <w:t xml:space="preserve">Someone must also assume liability for payment by submitting an </w:t>
      </w:r>
      <w:hyperlink r:id="rId20" w:history="1">
        <w:r w:rsidRPr="00055BB3">
          <w:rPr>
            <w:rStyle w:val="Hyperlink"/>
            <w:bCs/>
            <w:lang w:val="en"/>
          </w:rPr>
          <w:t>Assumption of Liability Form</w:t>
        </w:r>
      </w:hyperlink>
      <w:r w:rsidRPr="00055BB3">
        <w:rPr>
          <w:bCs/>
          <w:color w:val="FF0000"/>
          <w:lang w:val="en"/>
        </w:rPr>
        <w:t>.</w:t>
      </w:r>
      <w:r w:rsidRPr="00055BB3">
        <w:rPr>
          <w:bCs/>
          <w:lang w:val="en"/>
        </w:rPr>
        <w:t xml:space="preserve"> This could be the developer, landowner or another interested party</w:t>
      </w:r>
    </w:p>
    <w:p w14:paraId="28DD8A56" w14:textId="77777777" w:rsidR="00070322" w:rsidRPr="00055BB3" w:rsidRDefault="00070322" w:rsidP="00070322">
      <w:pPr>
        <w:numPr>
          <w:ilvl w:val="0"/>
          <w:numId w:val="3"/>
        </w:numPr>
        <w:rPr>
          <w:bCs/>
          <w:lang w:val="en"/>
        </w:rPr>
      </w:pPr>
      <w:r w:rsidRPr="00055BB3">
        <w:rPr>
          <w:bCs/>
          <w:lang w:val="en"/>
        </w:rPr>
        <w:lastRenderedPageBreak/>
        <w:t xml:space="preserve">We will then issue a </w:t>
      </w:r>
      <w:r w:rsidRPr="00941AE8">
        <w:rPr>
          <w:bCs/>
          <w:color w:val="000000" w:themeColor="text1"/>
          <w:lang w:val="en"/>
        </w:rPr>
        <w:t xml:space="preserve">Liability Notice which </w:t>
      </w:r>
      <w:r w:rsidRPr="00055BB3">
        <w:rPr>
          <w:bCs/>
          <w:lang w:val="en"/>
        </w:rPr>
        <w:t>sets out the charges due and the payment procedure</w:t>
      </w:r>
    </w:p>
    <w:p w14:paraId="5610BEDC" w14:textId="05E4E332" w:rsidR="00070322" w:rsidRPr="00055BB3" w:rsidRDefault="00070322" w:rsidP="00070322">
      <w:pPr>
        <w:numPr>
          <w:ilvl w:val="0"/>
          <w:numId w:val="3"/>
        </w:numPr>
        <w:rPr>
          <w:bCs/>
          <w:lang w:val="en"/>
        </w:rPr>
      </w:pPr>
      <w:r w:rsidRPr="00055BB3">
        <w:rPr>
          <w:bCs/>
          <w:lang w:val="en"/>
        </w:rPr>
        <w:t xml:space="preserve">Whoever assumes liability must then send us a </w:t>
      </w:r>
      <w:hyperlink r:id="rId21" w:history="1">
        <w:r w:rsidRPr="00055BB3">
          <w:rPr>
            <w:rStyle w:val="Hyperlink"/>
            <w:bCs/>
            <w:lang w:val="en"/>
          </w:rPr>
          <w:t>Commencement Notice</w:t>
        </w:r>
      </w:hyperlink>
      <w:r w:rsidRPr="00055BB3">
        <w:rPr>
          <w:bCs/>
          <w:color w:val="FF0000"/>
          <w:lang w:val="en"/>
        </w:rPr>
        <w:t xml:space="preserve">  </w:t>
      </w:r>
      <w:r w:rsidRPr="00055BB3">
        <w:rPr>
          <w:bCs/>
          <w:lang w:val="en"/>
        </w:rPr>
        <w:t>stating when development will start</w:t>
      </w:r>
    </w:p>
    <w:p w14:paraId="5B76F1E9" w14:textId="77777777" w:rsidR="00070322" w:rsidRPr="00055BB3" w:rsidRDefault="00070322" w:rsidP="00070322">
      <w:pPr>
        <w:numPr>
          <w:ilvl w:val="0"/>
          <w:numId w:val="3"/>
        </w:numPr>
        <w:rPr>
          <w:bCs/>
          <w:lang w:val="en"/>
        </w:rPr>
      </w:pPr>
      <w:r w:rsidRPr="00055BB3">
        <w:rPr>
          <w:bCs/>
          <w:lang w:val="en"/>
        </w:rPr>
        <w:t xml:space="preserve">We will send </w:t>
      </w:r>
      <w:r w:rsidRPr="00941AE8">
        <w:rPr>
          <w:bCs/>
          <w:color w:val="000000" w:themeColor="text1"/>
          <w:lang w:val="en"/>
        </w:rPr>
        <w:t xml:space="preserve">a Demand Notice </w:t>
      </w:r>
      <w:r w:rsidRPr="00055BB3">
        <w:rPr>
          <w:bCs/>
          <w:lang w:val="en"/>
        </w:rPr>
        <w:t>which states the payments and due dates for payment in line with our payment and instalment procedures</w:t>
      </w:r>
    </w:p>
    <w:p w14:paraId="7D2B5860" w14:textId="77777777" w:rsidR="00070322" w:rsidRPr="00055BB3" w:rsidRDefault="00070322" w:rsidP="00070322">
      <w:pPr>
        <w:numPr>
          <w:ilvl w:val="0"/>
          <w:numId w:val="3"/>
        </w:numPr>
        <w:rPr>
          <w:bCs/>
          <w:lang w:val="en"/>
        </w:rPr>
      </w:pPr>
      <w:r w:rsidRPr="00055BB3">
        <w:rPr>
          <w:bCs/>
          <w:lang w:val="en"/>
        </w:rPr>
        <w:t>When development starts, and payments are received in line with the procedures, we will issue a receipt for all payments received.</w:t>
      </w:r>
    </w:p>
    <w:p w14:paraId="70D22152" w14:textId="356F6C50" w:rsidR="00070322" w:rsidRPr="00055BB3" w:rsidRDefault="00070322" w:rsidP="00070322">
      <w:pPr>
        <w:pStyle w:val="Heading1"/>
        <w:rPr>
          <w:sz w:val="24"/>
          <w:lang w:val="en"/>
        </w:rPr>
      </w:pPr>
      <w:bookmarkStart w:id="6" w:name="_Toc410302620"/>
      <w:r w:rsidRPr="00055BB3">
        <w:rPr>
          <w:sz w:val="24"/>
          <w:lang w:val="en"/>
        </w:rPr>
        <w:t xml:space="preserve">13.0 Can I pay </w:t>
      </w:r>
      <w:r w:rsidR="00C01D56">
        <w:rPr>
          <w:sz w:val="24"/>
          <w:lang w:val="en"/>
        </w:rPr>
        <w:t>m</w:t>
      </w:r>
      <w:r w:rsidRPr="00055BB3">
        <w:rPr>
          <w:sz w:val="24"/>
          <w:lang w:val="en"/>
        </w:rPr>
        <w:t xml:space="preserve">y CIL in </w:t>
      </w:r>
      <w:r w:rsidRPr="00055BB3">
        <w:rPr>
          <w:sz w:val="24"/>
        </w:rPr>
        <w:t>kind</w:t>
      </w:r>
      <w:r w:rsidRPr="00055BB3">
        <w:rPr>
          <w:sz w:val="24"/>
          <w:lang w:val="en"/>
        </w:rPr>
        <w:t>?</w:t>
      </w:r>
      <w:bookmarkEnd w:id="6"/>
      <w:r w:rsidRPr="00055BB3">
        <w:rPr>
          <w:sz w:val="24"/>
          <w:lang w:val="en"/>
        </w:rPr>
        <w:t xml:space="preserve"> </w:t>
      </w:r>
    </w:p>
    <w:p w14:paraId="4855456C" w14:textId="77777777" w:rsidR="00070322" w:rsidRPr="00055BB3" w:rsidRDefault="00070322" w:rsidP="00070322">
      <w:pPr>
        <w:rPr>
          <w:lang w:val="en"/>
        </w:rPr>
      </w:pPr>
    </w:p>
    <w:p w14:paraId="0A5509BE" w14:textId="2FE3FA49" w:rsidR="00070322" w:rsidRPr="001F3364" w:rsidRDefault="00070322" w:rsidP="00070322">
      <w:r w:rsidRPr="001F3364">
        <w:rPr>
          <w:lang w:val="en"/>
        </w:rPr>
        <w:t xml:space="preserve">It may be possible to pay your CIL liability in kind, through either land or infrastructure, and we will assess each application and </w:t>
      </w:r>
      <w:proofErr w:type="gramStart"/>
      <w:r w:rsidRPr="001F3364">
        <w:rPr>
          <w:lang w:val="en"/>
        </w:rPr>
        <w:t>make a decision</w:t>
      </w:r>
      <w:proofErr w:type="gramEnd"/>
      <w:r w:rsidRPr="001F3364">
        <w:rPr>
          <w:lang w:val="en"/>
        </w:rPr>
        <w:t xml:space="preserve"> on a case by case basis. Please contact </w:t>
      </w:r>
      <w:r w:rsidRPr="001F3364">
        <w:t xml:space="preserve">Hayley </w:t>
      </w:r>
      <w:r w:rsidR="00C01D56">
        <w:t>Claybrook</w:t>
      </w:r>
      <w:r w:rsidRPr="001F3364">
        <w:t xml:space="preserve"> at </w:t>
      </w:r>
      <w:hyperlink r:id="rId22" w:history="1">
        <w:r w:rsidR="00C01D56" w:rsidRPr="00FD4F6B">
          <w:rPr>
            <w:rStyle w:val="Hyperlink"/>
          </w:rPr>
          <w:t>hayley.claybrook@birmingham.gov.uk</w:t>
        </w:r>
      </w:hyperlink>
      <w:r w:rsidRPr="001F3364">
        <w:t xml:space="preserve"> or </w:t>
      </w:r>
      <w:r w:rsidR="00C01D56" w:rsidRPr="00C01D56">
        <w:t>07912 451258</w:t>
      </w:r>
      <w:r w:rsidR="00C01D56">
        <w:t xml:space="preserve"> </w:t>
      </w:r>
      <w:r w:rsidRPr="001F3364">
        <w:t>for further information.</w:t>
      </w:r>
    </w:p>
    <w:p w14:paraId="7B6378C4" w14:textId="77777777" w:rsidR="00070322" w:rsidRPr="001F3364" w:rsidRDefault="00070322" w:rsidP="00070322"/>
    <w:p w14:paraId="321CE0A1" w14:textId="77777777" w:rsidR="00070322" w:rsidRPr="001F3364" w:rsidRDefault="00070322" w:rsidP="00070322">
      <w:pPr>
        <w:rPr>
          <w:lang w:val="en"/>
        </w:rPr>
      </w:pPr>
      <w:r w:rsidRPr="001F3364">
        <w:t xml:space="preserve">Please note, should we agree to an </w:t>
      </w:r>
      <w:proofErr w:type="gramStart"/>
      <w:r w:rsidRPr="001F3364">
        <w:t>in kind</w:t>
      </w:r>
      <w:proofErr w:type="gramEnd"/>
      <w:r w:rsidRPr="001F3364">
        <w:t xml:space="preserve"> payment of CIL liability, t</w:t>
      </w:r>
      <w:proofErr w:type="spellStart"/>
      <w:r w:rsidRPr="001F3364">
        <w:rPr>
          <w:lang w:val="en"/>
        </w:rPr>
        <w:t>hese</w:t>
      </w:r>
      <w:proofErr w:type="spellEnd"/>
      <w:r w:rsidRPr="001F3364">
        <w:rPr>
          <w:lang w:val="en"/>
        </w:rPr>
        <w:t xml:space="preserve"> payments must be agreed through a land or infrastructure agreement before starting on site and can be full or part payment of the CIL liability. </w:t>
      </w:r>
    </w:p>
    <w:p w14:paraId="18E249D9" w14:textId="77777777" w:rsidR="00070322" w:rsidRPr="001F3364" w:rsidRDefault="00070322" w:rsidP="00070322">
      <w:pPr>
        <w:rPr>
          <w:lang w:val="en"/>
        </w:rPr>
      </w:pPr>
    </w:p>
    <w:p w14:paraId="3C37B6A4" w14:textId="77777777" w:rsidR="00070322" w:rsidRPr="001F3364" w:rsidRDefault="00070322" w:rsidP="00070322">
      <w:pPr>
        <w:rPr>
          <w:lang w:val="en"/>
        </w:rPr>
      </w:pPr>
      <w:r w:rsidRPr="001F3364">
        <w:rPr>
          <w:lang w:val="en"/>
        </w:rPr>
        <w:t xml:space="preserve">Land or infrastructure must be valued by an independent valuer to ascertain open market value of land or the cost of the infrastructure to decide how much of the CIL liability will be paid by the </w:t>
      </w:r>
      <w:proofErr w:type="gramStart"/>
      <w:r w:rsidRPr="001F3364">
        <w:rPr>
          <w:lang w:val="en"/>
        </w:rPr>
        <w:t>in kind</w:t>
      </w:r>
      <w:proofErr w:type="gramEnd"/>
      <w:r w:rsidRPr="001F3364">
        <w:rPr>
          <w:lang w:val="en"/>
        </w:rPr>
        <w:t xml:space="preserve"> payment.</w:t>
      </w:r>
    </w:p>
    <w:p w14:paraId="40667CE2" w14:textId="77777777" w:rsidR="00070322" w:rsidRPr="001F3364" w:rsidRDefault="00070322" w:rsidP="00070322">
      <w:pPr>
        <w:rPr>
          <w:bCs/>
          <w:lang w:val="en"/>
        </w:rPr>
      </w:pPr>
    </w:p>
    <w:p w14:paraId="25BEC419" w14:textId="21DF9F0D" w:rsidR="00070322" w:rsidRDefault="00070322" w:rsidP="00070322">
      <w:pPr>
        <w:rPr>
          <w:bCs/>
          <w:lang w:val="en"/>
        </w:rPr>
      </w:pPr>
      <w:r w:rsidRPr="001F3364">
        <w:rPr>
          <w:bCs/>
          <w:lang w:val="en"/>
        </w:rPr>
        <w:t xml:space="preserve">Further information regarding in kind payments is contained within the </w:t>
      </w:r>
      <w:hyperlink r:id="rId23" w:history="1">
        <w:r w:rsidRPr="001F3364">
          <w:rPr>
            <w:rStyle w:val="Hyperlink"/>
            <w:bCs/>
            <w:lang w:val="en"/>
          </w:rPr>
          <w:t>CIL regul</w:t>
        </w:r>
        <w:r w:rsidRPr="001F3364">
          <w:rPr>
            <w:rStyle w:val="Hyperlink"/>
            <w:bCs/>
            <w:lang w:val="en"/>
          </w:rPr>
          <w:t>a</w:t>
        </w:r>
        <w:r w:rsidRPr="001F3364">
          <w:rPr>
            <w:rStyle w:val="Hyperlink"/>
            <w:bCs/>
            <w:lang w:val="en"/>
          </w:rPr>
          <w:t>tions.</w:t>
        </w:r>
      </w:hyperlink>
    </w:p>
    <w:p w14:paraId="13455410" w14:textId="68947AE1" w:rsidR="00070322" w:rsidRPr="00055BB3" w:rsidRDefault="00C01D56" w:rsidP="00070322">
      <w:pPr>
        <w:pStyle w:val="Heading1"/>
        <w:rPr>
          <w:sz w:val="24"/>
        </w:rPr>
      </w:pPr>
      <w:bookmarkStart w:id="7" w:name="_Toc410302621"/>
      <w:r>
        <w:rPr>
          <w:sz w:val="24"/>
        </w:rPr>
        <w:t>1</w:t>
      </w:r>
      <w:r w:rsidR="00070322" w:rsidRPr="00055BB3">
        <w:rPr>
          <w:sz w:val="24"/>
        </w:rPr>
        <w:t>4.0 Instalments</w:t>
      </w:r>
      <w:bookmarkEnd w:id="7"/>
    </w:p>
    <w:p w14:paraId="65B6AEBF" w14:textId="77777777" w:rsidR="00070322" w:rsidRPr="00055BB3" w:rsidRDefault="00070322" w:rsidP="00070322">
      <w:pPr>
        <w:rPr>
          <w:b/>
          <w:bCs/>
        </w:rPr>
      </w:pPr>
    </w:p>
    <w:p w14:paraId="2C5AB36C" w14:textId="72C3DE4F" w:rsidR="00070322" w:rsidRPr="00055BB3" w:rsidRDefault="00C01D56" w:rsidP="00070322">
      <w:pPr>
        <w:rPr>
          <w:bCs/>
        </w:rPr>
      </w:pPr>
      <w:r>
        <w:rPr>
          <w:bCs/>
        </w:rPr>
        <w:t>The Instalment Policy is detailed below and cannot be amended once adopted.</w:t>
      </w:r>
    </w:p>
    <w:p w14:paraId="2EA20E80" w14:textId="77777777" w:rsidR="00070322" w:rsidRPr="00E571C2" w:rsidRDefault="00070322" w:rsidP="00070322">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54"/>
      </w:tblGrid>
      <w:tr w:rsidR="00070322" w:rsidRPr="00E571C2" w14:paraId="3A4CCFB7" w14:textId="77777777" w:rsidTr="005C302A">
        <w:trPr>
          <w:trHeight w:val="583"/>
        </w:trPr>
        <w:tc>
          <w:tcPr>
            <w:tcW w:w="2518" w:type="dxa"/>
            <w:tcBorders>
              <w:top w:val="single" w:sz="4" w:space="0" w:color="auto"/>
              <w:left w:val="single" w:sz="4" w:space="0" w:color="auto"/>
              <w:bottom w:val="single" w:sz="4" w:space="0" w:color="auto"/>
              <w:right w:val="single" w:sz="4" w:space="0" w:color="auto"/>
            </w:tcBorders>
            <w:vAlign w:val="center"/>
          </w:tcPr>
          <w:p w14:paraId="1A131D4B" w14:textId="77777777" w:rsidR="00070322" w:rsidRPr="00E571C2" w:rsidRDefault="00070322" w:rsidP="005C302A">
            <w:pPr>
              <w:jc w:val="center"/>
              <w:rPr>
                <w:b/>
              </w:rPr>
            </w:pPr>
            <w:r w:rsidRPr="00E571C2">
              <w:rPr>
                <w:b/>
              </w:rPr>
              <w:t>Total CIL payment due</w:t>
            </w:r>
          </w:p>
        </w:tc>
        <w:tc>
          <w:tcPr>
            <w:tcW w:w="5954" w:type="dxa"/>
            <w:tcBorders>
              <w:top w:val="single" w:sz="4" w:space="0" w:color="auto"/>
              <w:left w:val="single" w:sz="4" w:space="0" w:color="auto"/>
              <w:bottom w:val="single" w:sz="4" w:space="0" w:color="auto"/>
              <w:right w:val="single" w:sz="4" w:space="0" w:color="auto"/>
            </w:tcBorders>
            <w:vAlign w:val="center"/>
          </w:tcPr>
          <w:p w14:paraId="6A578316" w14:textId="77777777" w:rsidR="00070322" w:rsidRPr="00E571C2" w:rsidRDefault="00070322" w:rsidP="005C302A">
            <w:pPr>
              <w:jc w:val="center"/>
              <w:rPr>
                <w:b/>
              </w:rPr>
            </w:pPr>
            <w:r w:rsidRPr="00E571C2">
              <w:rPr>
                <w:b/>
              </w:rPr>
              <w:t>Payment Terms</w:t>
            </w:r>
          </w:p>
        </w:tc>
      </w:tr>
      <w:tr w:rsidR="00070322" w:rsidRPr="00E571C2" w14:paraId="4BE146DB" w14:textId="77777777" w:rsidTr="005C302A">
        <w:tc>
          <w:tcPr>
            <w:tcW w:w="2518" w:type="dxa"/>
            <w:tcBorders>
              <w:top w:val="single" w:sz="4" w:space="0" w:color="auto"/>
              <w:left w:val="single" w:sz="4" w:space="0" w:color="auto"/>
              <w:bottom w:val="single" w:sz="4" w:space="0" w:color="auto"/>
              <w:right w:val="single" w:sz="4" w:space="0" w:color="auto"/>
            </w:tcBorders>
            <w:hideMark/>
          </w:tcPr>
          <w:p w14:paraId="2FC96876" w14:textId="77777777" w:rsidR="00070322" w:rsidRPr="00E571C2" w:rsidRDefault="00070322" w:rsidP="005C302A">
            <w:r w:rsidRPr="00E571C2">
              <w:t>Less than £30,000</w:t>
            </w:r>
          </w:p>
        </w:tc>
        <w:tc>
          <w:tcPr>
            <w:tcW w:w="5954" w:type="dxa"/>
            <w:tcBorders>
              <w:top w:val="single" w:sz="4" w:space="0" w:color="auto"/>
              <w:left w:val="single" w:sz="4" w:space="0" w:color="auto"/>
              <w:bottom w:val="single" w:sz="4" w:space="0" w:color="auto"/>
              <w:right w:val="single" w:sz="4" w:space="0" w:color="auto"/>
            </w:tcBorders>
            <w:hideMark/>
          </w:tcPr>
          <w:p w14:paraId="5CB94D8F" w14:textId="77777777" w:rsidR="00070322" w:rsidRPr="00E571C2" w:rsidRDefault="00070322" w:rsidP="005C302A">
            <w:r w:rsidRPr="00E571C2">
              <w:t>Total payable within 60 days of commencement</w:t>
            </w:r>
          </w:p>
        </w:tc>
      </w:tr>
      <w:tr w:rsidR="00070322" w:rsidRPr="00E571C2" w14:paraId="3B6F9E80" w14:textId="77777777" w:rsidTr="005C302A">
        <w:tc>
          <w:tcPr>
            <w:tcW w:w="2518" w:type="dxa"/>
            <w:tcBorders>
              <w:top w:val="single" w:sz="4" w:space="0" w:color="auto"/>
              <w:left w:val="single" w:sz="4" w:space="0" w:color="auto"/>
              <w:bottom w:val="single" w:sz="4" w:space="0" w:color="auto"/>
              <w:right w:val="single" w:sz="4" w:space="0" w:color="auto"/>
            </w:tcBorders>
            <w:hideMark/>
          </w:tcPr>
          <w:p w14:paraId="1C682C95" w14:textId="77777777" w:rsidR="00070322" w:rsidRPr="00E571C2" w:rsidRDefault="00070322" w:rsidP="005C302A">
            <w:r>
              <w:t>£30,000</w:t>
            </w:r>
            <w:r w:rsidRPr="00E571C2">
              <w:t xml:space="preserve"> - £100,000</w:t>
            </w:r>
          </w:p>
        </w:tc>
        <w:tc>
          <w:tcPr>
            <w:tcW w:w="5954" w:type="dxa"/>
            <w:tcBorders>
              <w:top w:val="single" w:sz="4" w:space="0" w:color="auto"/>
              <w:left w:val="single" w:sz="4" w:space="0" w:color="auto"/>
              <w:bottom w:val="single" w:sz="4" w:space="0" w:color="auto"/>
              <w:right w:val="single" w:sz="4" w:space="0" w:color="auto"/>
            </w:tcBorders>
            <w:hideMark/>
          </w:tcPr>
          <w:p w14:paraId="63830E9E" w14:textId="77777777" w:rsidR="00070322" w:rsidRPr="00E571C2" w:rsidRDefault="00070322" w:rsidP="005C302A">
            <w:r w:rsidRPr="00E571C2">
              <w:t>25% payable within 60 days of commencement</w:t>
            </w:r>
          </w:p>
          <w:p w14:paraId="35D4AFF8" w14:textId="77777777" w:rsidR="00070322" w:rsidRPr="00E571C2" w:rsidRDefault="00070322" w:rsidP="005C302A">
            <w:r w:rsidRPr="00E571C2">
              <w:t>75% payable within 240 days of commencement (c. 8 months)</w:t>
            </w:r>
          </w:p>
        </w:tc>
      </w:tr>
      <w:tr w:rsidR="00070322" w:rsidRPr="00E571C2" w14:paraId="055A8940" w14:textId="77777777" w:rsidTr="005C302A">
        <w:tc>
          <w:tcPr>
            <w:tcW w:w="2518" w:type="dxa"/>
            <w:tcBorders>
              <w:top w:val="single" w:sz="4" w:space="0" w:color="auto"/>
              <w:left w:val="single" w:sz="4" w:space="0" w:color="auto"/>
              <w:bottom w:val="single" w:sz="4" w:space="0" w:color="auto"/>
              <w:right w:val="single" w:sz="4" w:space="0" w:color="auto"/>
            </w:tcBorders>
            <w:hideMark/>
          </w:tcPr>
          <w:p w14:paraId="4420736F" w14:textId="77777777" w:rsidR="00070322" w:rsidRPr="00E571C2" w:rsidRDefault="00070322" w:rsidP="005C302A">
            <w:r w:rsidRPr="00E571C2">
              <w:t>£100,001 - £500,000</w:t>
            </w:r>
          </w:p>
        </w:tc>
        <w:tc>
          <w:tcPr>
            <w:tcW w:w="5954" w:type="dxa"/>
            <w:tcBorders>
              <w:top w:val="single" w:sz="4" w:space="0" w:color="auto"/>
              <w:left w:val="single" w:sz="4" w:space="0" w:color="auto"/>
              <w:bottom w:val="single" w:sz="4" w:space="0" w:color="auto"/>
              <w:right w:val="single" w:sz="4" w:space="0" w:color="auto"/>
            </w:tcBorders>
          </w:tcPr>
          <w:p w14:paraId="2BF9487C" w14:textId="77777777" w:rsidR="00070322" w:rsidRPr="00E571C2" w:rsidRDefault="00070322" w:rsidP="005C302A">
            <w:r w:rsidRPr="00E571C2">
              <w:t>25% payable within 60 days of commencement</w:t>
            </w:r>
          </w:p>
          <w:p w14:paraId="155E8AC0" w14:textId="77777777" w:rsidR="00070322" w:rsidRPr="00E571C2" w:rsidRDefault="00070322" w:rsidP="005C302A">
            <w:r w:rsidRPr="00E571C2">
              <w:t>25% payable within 240 days of commencement (c. 8 months)</w:t>
            </w:r>
          </w:p>
          <w:p w14:paraId="66FDA916" w14:textId="77777777" w:rsidR="00070322" w:rsidRPr="00E571C2" w:rsidRDefault="00070322" w:rsidP="005C302A">
            <w:r w:rsidRPr="00E571C2">
              <w:t xml:space="preserve">50% payable within 365 days of commencement (c. 1 year) </w:t>
            </w:r>
          </w:p>
          <w:p w14:paraId="2C4C99D2" w14:textId="77777777" w:rsidR="00070322" w:rsidRPr="00E571C2" w:rsidRDefault="00070322" w:rsidP="005C302A"/>
          <w:p w14:paraId="11B5C530" w14:textId="77777777" w:rsidR="00070322" w:rsidRPr="00E571C2" w:rsidRDefault="00070322" w:rsidP="005C302A">
            <w:r w:rsidRPr="00E571C2">
              <w:t xml:space="preserve">NB Full payment is due if </w:t>
            </w:r>
            <w:r>
              <w:t xml:space="preserve">full </w:t>
            </w:r>
            <w:r w:rsidRPr="00E571C2">
              <w:t>occupation/opening of development is earlier than the dates set out above.</w:t>
            </w:r>
          </w:p>
        </w:tc>
      </w:tr>
      <w:tr w:rsidR="00070322" w:rsidRPr="00E571C2" w14:paraId="040E4E93" w14:textId="77777777" w:rsidTr="005C302A">
        <w:tc>
          <w:tcPr>
            <w:tcW w:w="2518" w:type="dxa"/>
            <w:tcBorders>
              <w:top w:val="single" w:sz="4" w:space="0" w:color="auto"/>
              <w:left w:val="single" w:sz="4" w:space="0" w:color="auto"/>
              <w:bottom w:val="single" w:sz="4" w:space="0" w:color="auto"/>
              <w:right w:val="single" w:sz="4" w:space="0" w:color="auto"/>
            </w:tcBorders>
            <w:hideMark/>
          </w:tcPr>
          <w:p w14:paraId="7D50024F" w14:textId="77777777" w:rsidR="00070322" w:rsidRPr="00E571C2" w:rsidRDefault="00070322" w:rsidP="005C302A">
            <w:r w:rsidRPr="00E571C2">
              <w:t>£500,001 - £1,000,000</w:t>
            </w:r>
          </w:p>
        </w:tc>
        <w:tc>
          <w:tcPr>
            <w:tcW w:w="5954" w:type="dxa"/>
            <w:tcBorders>
              <w:top w:val="single" w:sz="4" w:space="0" w:color="auto"/>
              <w:left w:val="single" w:sz="4" w:space="0" w:color="auto"/>
              <w:bottom w:val="single" w:sz="4" w:space="0" w:color="auto"/>
              <w:right w:val="single" w:sz="4" w:space="0" w:color="auto"/>
            </w:tcBorders>
          </w:tcPr>
          <w:p w14:paraId="01759B65" w14:textId="77777777" w:rsidR="00070322" w:rsidRPr="00E571C2" w:rsidRDefault="00070322" w:rsidP="005C302A">
            <w:r w:rsidRPr="00E571C2">
              <w:t>20% payable within 60 days of commencement</w:t>
            </w:r>
          </w:p>
          <w:p w14:paraId="17D72D90" w14:textId="77777777" w:rsidR="00070322" w:rsidRPr="00E571C2" w:rsidRDefault="00070322" w:rsidP="005C302A">
            <w:r w:rsidRPr="00E571C2">
              <w:t>20% payable within 240 days of commencement of development (c. 8 months)</w:t>
            </w:r>
          </w:p>
          <w:p w14:paraId="34FBA5D0" w14:textId="77777777" w:rsidR="00070322" w:rsidRPr="00E571C2" w:rsidRDefault="00070322" w:rsidP="005C302A">
            <w:r w:rsidRPr="00E571C2">
              <w:lastRenderedPageBreak/>
              <w:t>30% payable within 365 days of commencement (c. 1 year)</w:t>
            </w:r>
          </w:p>
          <w:p w14:paraId="3514D9E4" w14:textId="77777777" w:rsidR="00070322" w:rsidRPr="00E571C2" w:rsidRDefault="00070322" w:rsidP="005C302A">
            <w:r w:rsidRPr="00E571C2">
              <w:t>30% payable within 540 days of commencement (c. 18 months)</w:t>
            </w:r>
          </w:p>
          <w:p w14:paraId="7BF7E04C" w14:textId="77777777" w:rsidR="00070322" w:rsidRPr="00E571C2" w:rsidRDefault="00070322" w:rsidP="005C302A"/>
          <w:p w14:paraId="6F64AB58" w14:textId="77777777" w:rsidR="00070322" w:rsidRPr="00E571C2" w:rsidRDefault="00070322" w:rsidP="005C302A">
            <w:r w:rsidRPr="00E571C2">
              <w:t xml:space="preserve">NB Full payment is due if </w:t>
            </w:r>
            <w:r>
              <w:t xml:space="preserve">full </w:t>
            </w:r>
            <w:r w:rsidRPr="00E571C2">
              <w:t>occupation/opening of development is earlier than the dates set out above.</w:t>
            </w:r>
          </w:p>
        </w:tc>
      </w:tr>
      <w:tr w:rsidR="00070322" w:rsidRPr="00E571C2" w14:paraId="357F9F28" w14:textId="77777777" w:rsidTr="005C302A">
        <w:tc>
          <w:tcPr>
            <w:tcW w:w="2518" w:type="dxa"/>
            <w:tcBorders>
              <w:top w:val="single" w:sz="4" w:space="0" w:color="auto"/>
              <w:left w:val="single" w:sz="4" w:space="0" w:color="auto"/>
              <w:bottom w:val="single" w:sz="4" w:space="0" w:color="auto"/>
              <w:right w:val="single" w:sz="4" w:space="0" w:color="auto"/>
            </w:tcBorders>
            <w:hideMark/>
          </w:tcPr>
          <w:p w14:paraId="33E91DC4" w14:textId="77777777" w:rsidR="00070322" w:rsidRPr="00E571C2" w:rsidRDefault="00070322" w:rsidP="005C302A">
            <w:r w:rsidRPr="00E571C2">
              <w:lastRenderedPageBreak/>
              <w:t>More than £1,000,001</w:t>
            </w:r>
          </w:p>
        </w:tc>
        <w:tc>
          <w:tcPr>
            <w:tcW w:w="5954" w:type="dxa"/>
            <w:tcBorders>
              <w:top w:val="single" w:sz="4" w:space="0" w:color="auto"/>
              <w:left w:val="single" w:sz="4" w:space="0" w:color="auto"/>
              <w:bottom w:val="single" w:sz="4" w:space="0" w:color="auto"/>
              <w:right w:val="single" w:sz="4" w:space="0" w:color="auto"/>
            </w:tcBorders>
          </w:tcPr>
          <w:p w14:paraId="1127C32B" w14:textId="77777777" w:rsidR="00070322" w:rsidRPr="00E571C2" w:rsidRDefault="00070322" w:rsidP="005C302A">
            <w:r w:rsidRPr="00E571C2">
              <w:t>20% payable within 60 days of commencement</w:t>
            </w:r>
          </w:p>
          <w:p w14:paraId="3D770FBB" w14:textId="77777777" w:rsidR="00070322" w:rsidRPr="00E571C2" w:rsidRDefault="00070322" w:rsidP="005C302A">
            <w:r w:rsidRPr="00E571C2">
              <w:t>20% payable within 240 days of commencement of development (c. 8 months)</w:t>
            </w:r>
          </w:p>
          <w:p w14:paraId="1BA33ADF" w14:textId="77777777" w:rsidR="00070322" w:rsidRPr="00E571C2" w:rsidRDefault="00070322" w:rsidP="005C302A">
            <w:r w:rsidRPr="00E571C2">
              <w:t>20% payable within 365 days of commencement (c. 1 year)</w:t>
            </w:r>
          </w:p>
          <w:p w14:paraId="601650DB" w14:textId="77777777" w:rsidR="00070322" w:rsidRPr="00E571C2" w:rsidRDefault="00070322" w:rsidP="005C302A">
            <w:r w:rsidRPr="00E571C2">
              <w:t>20% payable within 540 days of commencement (c. 18 months)</w:t>
            </w:r>
          </w:p>
          <w:p w14:paraId="5328C536" w14:textId="77777777" w:rsidR="00070322" w:rsidRPr="00E571C2" w:rsidRDefault="00070322" w:rsidP="005C302A">
            <w:r w:rsidRPr="00E571C2">
              <w:t>20% payable within 730 days of commencement (c. 2 years)</w:t>
            </w:r>
          </w:p>
          <w:p w14:paraId="5E2298C9" w14:textId="77777777" w:rsidR="00070322" w:rsidRPr="00E571C2" w:rsidRDefault="00070322" w:rsidP="005C302A"/>
          <w:p w14:paraId="704C2DA2" w14:textId="77777777" w:rsidR="00070322" w:rsidRPr="00E571C2" w:rsidRDefault="00070322" w:rsidP="005C302A">
            <w:r w:rsidRPr="00E571C2">
              <w:t xml:space="preserve">NB Full payment is due if </w:t>
            </w:r>
            <w:r>
              <w:t xml:space="preserve">full </w:t>
            </w:r>
            <w:r w:rsidRPr="00E571C2">
              <w:t>occupation/opening of development is earlier than the dates set out above.</w:t>
            </w:r>
          </w:p>
        </w:tc>
      </w:tr>
    </w:tbl>
    <w:p w14:paraId="7C098C62" w14:textId="77777777" w:rsidR="00070322" w:rsidRPr="00E571C2" w:rsidRDefault="00070322" w:rsidP="00070322">
      <w:pPr>
        <w:autoSpaceDE w:val="0"/>
        <w:autoSpaceDN w:val="0"/>
        <w:adjustRightInd w:val="0"/>
        <w:rPr>
          <w:color w:val="000000"/>
          <w:lang w:eastAsia="en-GB"/>
        </w:rPr>
      </w:pPr>
    </w:p>
    <w:p w14:paraId="155B770D" w14:textId="77777777" w:rsidR="00070322" w:rsidRPr="00055BB3" w:rsidRDefault="00070322" w:rsidP="00070322">
      <w:pPr>
        <w:autoSpaceDE w:val="0"/>
        <w:autoSpaceDN w:val="0"/>
        <w:adjustRightInd w:val="0"/>
        <w:rPr>
          <w:color w:val="000000"/>
          <w:lang w:eastAsia="en-GB"/>
        </w:rPr>
      </w:pPr>
      <w:r w:rsidRPr="00055BB3">
        <w:rPr>
          <w:color w:val="000000"/>
          <w:lang w:eastAsia="en-GB"/>
        </w:rPr>
        <w:t>If these instalment terms are broken, we will issue a Demand Notice which requires full payment immediately.</w:t>
      </w:r>
    </w:p>
    <w:p w14:paraId="70F2F37A" w14:textId="77777777" w:rsidR="00070322" w:rsidRPr="00055BB3" w:rsidRDefault="00070322" w:rsidP="00070322">
      <w:pPr>
        <w:autoSpaceDE w:val="0"/>
        <w:autoSpaceDN w:val="0"/>
        <w:adjustRightInd w:val="0"/>
        <w:rPr>
          <w:color w:val="000000"/>
          <w:lang w:eastAsia="en-GB"/>
        </w:rPr>
      </w:pPr>
    </w:p>
    <w:p w14:paraId="337393A5" w14:textId="77777777" w:rsidR="00070322" w:rsidRDefault="00070322" w:rsidP="00070322">
      <w:pPr>
        <w:autoSpaceDE w:val="0"/>
        <w:autoSpaceDN w:val="0"/>
        <w:adjustRightInd w:val="0"/>
        <w:rPr>
          <w:color w:val="000000"/>
          <w:lang w:eastAsia="en-GB"/>
        </w:rPr>
      </w:pPr>
      <w:r w:rsidRPr="00055BB3">
        <w:rPr>
          <w:color w:val="000000"/>
          <w:lang w:eastAsia="en-GB"/>
        </w:rPr>
        <w:t xml:space="preserve">Similarly, if no Commencement Notice is received and we </w:t>
      </w:r>
      <w:proofErr w:type="gramStart"/>
      <w:r w:rsidRPr="00055BB3">
        <w:rPr>
          <w:color w:val="000000"/>
          <w:lang w:eastAsia="en-GB"/>
        </w:rPr>
        <w:t>have to</w:t>
      </w:r>
      <w:proofErr w:type="gramEnd"/>
      <w:r w:rsidRPr="00055BB3">
        <w:rPr>
          <w:color w:val="000000"/>
          <w:lang w:eastAsia="en-GB"/>
        </w:rPr>
        <w:t xml:space="preserve"> determine the “deemed commencement” date, we will issue a Demand Notice for CIL liability, which must be paid immediately in full.</w:t>
      </w:r>
    </w:p>
    <w:p w14:paraId="44F3C84D" w14:textId="77777777" w:rsidR="00070322" w:rsidRPr="00055BB3" w:rsidRDefault="00070322" w:rsidP="00070322">
      <w:pPr>
        <w:pStyle w:val="Heading1"/>
        <w:rPr>
          <w:sz w:val="24"/>
        </w:rPr>
      </w:pPr>
      <w:bookmarkStart w:id="8" w:name="_Toc410302622"/>
      <w:r w:rsidRPr="00055BB3">
        <w:rPr>
          <w:sz w:val="24"/>
        </w:rPr>
        <w:t>15.0 Developer contributions and S106 Agreements</w:t>
      </w:r>
      <w:bookmarkEnd w:id="8"/>
    </w:p>
    <w:p w14:paraId="57580A9D" w14:textId="77777777" w:rsidR="00070322" w:rsidRPr="00055BB3" w:rsidRDefault="00070322" w:rsidP="00070322">
      <w:pPr>
        <w:rPr>
          <w:b/>
          <w:bCs/>
        </w:rPr>
      </w:pPr>
    </w:p>
    <w:p w14:paraId="679BFE4D" w14:textId="77777777" w:rsidR="00070322" w:rsidRPr="00055BB3" w:rsidRDefault="00070322" w:rsidP="00070322">
      <w:r w:rsidRPr="00055BB3">
        <w:t>You could be asked to contribute towards infrastructure in different ways. This could be through CIL, S106 agreements, S278 highway agreements and any conditions which may be attached to your planning permission.</w:t>
      </w:r>
    </w:p>
    <w:p w14:paraId="33877611" w14:textId="77777777" w:rsidR="00070322" w:rsidRPr="00055BB3" w:rsidRDefault="00070322" w:rsidP="00070322">
      <w:pPr>
        <w:pStyle w:val="Heading1"/>
        <w:rPr>
          <w:sz w:val="24"/>
        </w:rPr>
      </w:pPr>
      <w:bookmarkStart w:id="9" w:name="_Toc410302623"/>
      <w:r w:rsidRPr="00055BB3">
        <w:rPr>
          <w:sz w:val="24"/>
        </w:rPr>
        <w:t>15.1 Section</w:t>
      </w:r>
      <w:r>
        <w:rPr>
          <w:sz w:val="24"/>
        </w:rPr>
        <w:t xml:space="preserve"> </w:t>
      </w:r>
      <w:r w:rsidRPr="00055BB3">
        <w:rPr>
          <w:sz w:val="24"/>
        </w:rPr>
        <w:t>106 agreements</w:t>
      </w:r>
      <w:bookmarkEnd w:id="9"/>
    </w:p>
    <w:p w14:paraId="6EC92D16" w14:textId="77777777" w:rsidR="00070322" w:rsidRPr="00055BB3" w:rsidRDefault="00070322" w:rsidP="00070322"/>
    <w:p w14:paraId="36D386B3" w14:textId="77777777" w:rsidR="00070322" w:rsidRPr="00055BB3" w:rsidRDefault="00070322" w:rsidP="00070322">
      <w:r w:rsidRPr="00055BB3">
        <w:t xml:space="preserve">The CIL should provide infrastructure to support the development of the whole area covered by the Development Plan. However, some </w:t>
      </w:r>
      <w:proofErr w:type="gramStart"/>
      <w:r w:rsidRPr="00055BB3">
        <w:t>site specific</w:t>
      </w:r>
      <w:proofErr w:type="gramEnd"/>
      <w:r w:rsidRPr="00055BB3">
        <w:t xml:space="preserve"> issues or mitigation might still be needed to make sure planning permission is granted. </w:t>
      </w:r>
    </w:p>
    <w:p w14:paraId="03410334" w14:textId="77777777" w:rsidR="00070322" w:rsidRDefault="00070322" w:rsidP="00070322"/>
    <w:p w14:paraId="7024A313" w14:textId="68A121CA" w:rsidR="00070322" w:rsidRPr="00055BB3" w:rsidRDefault="00070322" w:rsidP="00070322">
      <w:r>
        <w:t xml:space="preserve">Whilst </w:t>
      </w:r>
      <w:proofErr w:type="gramStart"/>
      <w:r>
        <w:t>the majority of</w:t>
      </w:r>
      <w:proofErr w:type="gramEnd"/>
      <w:r>
        <w:t xml:space="preserve"> our viability appraisals assume a zero CIL liability, there may still be a need for on-site requirements, and these will be assessed on each planning application. </w:t>
      </w:r>
    </w:p>
    <w:p w14:paraId="48911128" w14:textId="77777777" w:rsidR="00070322" w:rsidRPr="00055BB3" w:rsidRDefault="00070322" w:rsidP="00070322"/>
    <w:p w14:paraId="004C02AD" w14:textId="77777777" w:rsidR="00070322" w:rsidRPr="00055BB3" w:rsidRDefault="00070322" w:rsidP="00070322">
      <w:r w:rsidRPr="00055BB3">
        <w:t xml:space="preserve">You should note that while S106 agreements will remain, they will continue to be negotiable and therefore will be negotiated </w:t>
      </w:r>
      <w:r w:rsidRPr="00055BB3">
        <w:rPr>
          <w:i/>
        </w:rPr>
        <w:t>after</w:t>
      </w:r>
      <w:r w:rsidRPr="00055BB3">
        <w:t xml:space="preserve"> the CIL contribution has been calculated.</w:t>
      </w:r>
    </w:p>
    <w:p w14:paraId="7F0F63D6" w14:textId="77777777" w:rsidR="00070322" w:rsidRPr="00055BB3" w:rsidRDefault="00070322" w:rsidP="00070322"/>
    <w:p w14:paraId="0C760368" w14:textId="77777777" w:rsidR="00070322" w:rsidRPr="00055BB3" w:rsidRDefault="00070322" w:rsidP="00070322">
      <w:r w:rsidRPr="00055BB3">
        <w:t>S106 agreements should continue to be;</w:t>
      </w:r>
    </w:p>
    <w:p w14:paraId="266D559E" w14:textId="77777777" w:rsidR="00070322" w:rsidRPr="00055BB3" w:rsidRDefault="00070322" w:rsidP="00070322">
      <w:pPr>
        <w:rPr>
          <w:rStyle w:val="apple-converted-space"/>
          <w:color w:val="010101"/>
          <w:shd w:val="clear" w:color="auto" w:fill="FFFFFF"/>
        </w:rPr>
      </w:pPr>
      <w:r w:rsidRPr="00055BB3">
        <w:rPr>
          <w:color w:val="010101"/>
          <w:shd w:val="clear" w:color="auto" w:fill="FFFFFF"/>
        </w:rPr>
        <w:lastRenderedPageBreak/>
        <w:t>(a) necessary to make the development acceptable in planning terms;</w:t>
      </w:r>
      <w:r w:rsidRPr="00055BB3">
        <w:rPr>
          <w:color w:val="010101"/>
        </w:rPr>
        <w:br/>
      </w:r>
      <w:r w:rsidRPr="00055BB3">
        <w:rPr>
          <w:color w:val="010101"/>
          <w:shd w:val="clear" w:color="auto" w:fill="FFFFFF"/>
        </w:rPr>
        <w:t>(b) directly related to the development; and</w:t>
      </w:r>
      <w:r w:rsidRPr="00055BB3">
        <w:rPr>
          <w:color w:val="010101"/>
        </w:rPr>
        <w:br/>
      </w:r>
      <w:r w:rsidRPr="00055BB3">
        <w:rPr>
          <w:color w:val="010101"/>
          <w:shd w:val="clear" w:color="auto" w:fill="FFFFFF"/>
        </w:rPr>
        <w:t>(c) fairly and reasonably related in scale and kind to the development</w:t>
      </w:r>
      <w:r w:rsidRPr="00055BB3">
        <w:rPr>
          <w:rStyle w:val="apple-converted-space"/>
          <w:color w:val="010101"/>
          <w:shd w:val="clear" w:color="auto" w:fill="FFFFFF"/>
        </w:rPr>
        <w:t> </w:t>
      </w:r>
    </w:p>
    <w:p w14:paraId="1F7E78C3" w14:textId="77777777" w:rsidR="00070322" w:rsidRPr="00055BB3" w:rsidRDefault="00070322" w:rsidP="00070322">
      <w:pPr>
        <w:pStyle w:val="Heading1"/>
        <w:rPr>
          <w:sz w:val="24"/>
        </w:rPr>
      </w:pPr>
      <w:bookmarkStart w:id="10" w:name="_Toc410302624"/>
      <w:r w:rsidRPr="00055BB3">
        <w:rPr>
          <w:sz w:val="24"/>
        </w:rPr>
        <w:t>15.2 Section 278 agreements</w:t>
      </w:r>
      <w:bookmarkEnd w:id="10"/>
    </w:p>
    <w:p w14:paraId="51EB85BD" w14:textId="77777777" w:rsidR="00070322" w:rsidRPr="00055BB3" w:rsidRDefault="00070322" w:rsidP="00070322"/>
    <w:p w14:paraId="05181966" w14:textId="1D39315C" w:rsidR="00070322" w:rsidRPr="00055BB3" w:rsidRDefault="00070322" w:rsidP="00070322">
      <w:pPr>
        <w:rPr>
          <w:bCs/>
        </w:rPr>
      </w:pPr>
      <w:r w:rsidRPr="00055BB3">
        <w:t xml:space="preserve">Section 278 agreements are agreements between the highway authority and someone who agrees to pay </w:t>
      </w:r>
      <w:proofErr w:type="gramStart"/>
      <w:r w:rsidRPr="00055BB3">
        <w:t>all</w:t>
      </w:r>
      <w:proofErr w:type="gramEnd"/>
      <w:r w:rsidRPr="00055BB3">
        <w:t xml:space="preserve"> or part of the highways works. </w:t>
      </w:r>
    </w:p>
    <w:p w14:paraId="08930D0A" w14:textId="77777777" w:rsidR="00070322" w:rsidRPr="00055BB3" w:rsidRDefault="00070322" w:rsidP="00070322">
      <w:pPr>
        <w:pStyle w:val="Heading1"/>
        <w:rPr>
          <w:sz w:val="24"/>
        </w:rPr>
      </w:pPr>
      <w:bookmarkStart w:id="11" w:name="_Toc410302625"/>
      <w:r w:rsidRPr="00055BB3">
        <w:rPr>
          <w:sz w:val="24"/>
        </w:rPr>
        <w:t>16.0 Percentage to neighbourhoods</w:t>
      </w:r>
      <w:bookmarkEnd w:id="11"/>
    </w:p>
    <w:p w14:paraId="0C67E7D7" w14:textId="77777777" w:rsidR="00070322" w:rsidRPr="00055BB3" w:rsidRDefault="00070322" w:rsidP="00070322">
      <w:pPr>
        <w:rPr>
          <w:bCs/>
        </w:rPr>
      </w:pPr>
    </w:p>
    <w:p w14:paraId="0935E738" w14:textId="77777777" w:rsidR="00070322" w:rsidRPr="00055BB3" w:rsidRDefault="00070322" w:rsidP="00070322">
      <w:pPr>
        <w:rPr>
          <w:bCs/>
        </w:rPr>
      </w:pPr>
      <w:r w:rsidRPr="00055BB3">
        <w:rPr>
          <w:bCs/>
        </w:rPr>
        <w:t xml:space="preserve">We </w:t>
      </w:r>
      <w:proofErr w:type="gramStart"/>
      <w:r w:rsidRPr="00055BB3">
        <w:rPr>
          <w:bCs/>
        </w:rPr>
        <w:t>have to</w:t>
      </w:r>
      <w:proofErr w:type="gramEnd"/>
      <w:r w:rsidRPr="00055BB3">
        <w:rPr>
          <w:bCs/>
        </w:rPr>
        <w:t xml:space="preserve"> pass on a percentage of CIL receipts to those communities affected by new developments. </w:t>
      </w:r>
    </w:p>
    <w:p w14:paraId="73F40716" w14:textId="77777777" w:rsidR="00070322" w:rsidRPr="00055BB3" w:rsidRDefault="00070322" w:rsidP="00070322">
      <w:pPr>
        <w:rPr>
          <w:bCs/>
        </w:rPr>
      </w:pPr>
    </w:p>
    <w:p w14:paraId="73C0DC96" w14:textId="77777777" w:rsidR="00070322" w:rsidRPr="00055BB3" w:rsidRDefault="00070322" w:rsidP="00070322">
      <w:pPr>
        <w:rPr>
          <w:bCs/>
        </w:rPr>
      </w:pPr>
      <w:r w:rsidRPr="00055BB3">
        <w:rPr>
          <w:bCs/>
        </w:rPr>
        <w:t xml:space="preserve">15% of CIL receipts must be passed to Parish and Town Councils where development has taken place. This is capped at £100 per council tax dwelling, per year. </w:t>
      </w:r>
    </w:p>
    <w:p w14:paraId="48DB6199" w14:textId="77777777" w:rsidR="00070322" w:rsidRPr="00055BB3" w:rsidRDefault="00070322" w:rsidP="00070322">
      <w:pPr>
        <w:rPr>
          <w:bCs/>
        </w:rPr>
      </w:pPr>
    </w:p>
    <w:p w14:paraId="233C1535" w14:textId="77777777" w:rsidR="00070322" w:rsidRPr="00055BB3" w:rsidRDefault="00070322" w:rsidP="00070322">
      <w:pPr>
        <w:rPr>
          <w:bCs/>
        </w:rPr>
      </w:pPr>
      <w:r w:rsidRPr="00055BB3">
        <w:rPr>
          <w:bCs/>
        </w:rPr>
        <w:t xml:space="preserve">If there is a Neighbourhood Plan or a Neighbourhood Development Order (including a Community Right to Build Order) in place, the amount passed to that Neighbourhood Plan area is increased to 25%, with no annual cap. </w:t>
      </w:r>
    </w:p>
    <w:p w14:paraId="530657F0" w14:textId="77777777" w:rsidR="00070322" w:rsidRDefault="00070322" w:rsidP="00070322">
      <w:pPr>
        <w:rPr>
          <w:bCs/>
        </w:rPr>
      </w:pPr>
    </w:p>
    <w:p w14:paraId="3568692E" w14:textId="77777777" w:rsidR="00070322" w:rsidRPr="00055BB3" w:rsidRDefault="00070322" w:rsidP="00070322">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70322" w:rsidRPr="00055BB3" w14:paraId="54133A23" w14:textId="77777777" w:rsidTr="005C302A">
        <w:tc>
          <w:tcPr>
            <w:tcW w:w="4261" w:type="dxa"/>
            <w:shd w:val="clear" w:color="auto" w:fill="auto"/>
          </w:tcPr>
          <w:p w14:paraId="0197DF22" w14:textId="77777777" w:rsidR="00070322" w:rsidRPr="00055BB3" w:rsidRDefault="00070322" w:rsidP="005C302A">
            <w:pPr>
              <w:rPr>
                <w:bCs/>
              </w:rPr>
            </w:pPr>
          </w:p>
          <w:p w14:paraId="3A57D187" w14:textId="77777777" w:rsidR="00070322" w:rsidRPr="00055BB3" w:rsidRDefault="00070322" w:rsidP="005C302A">
            <w:pPr>
              <w:rPr>
                <w:bCs/>
              </w:rPr>
            </w:pPr>
            <w:r w:rsidRPr="00055BB3">
              <w:rPr>
                <w:bCs/>
              </w:rPr>
              <w:t xml:space="preserve">Parish Council </w:t>
            </w:r>
            <w:r w:rsidRPr="00055BB3">
              <w:rPr>
                <w:bCs/>
              </w:rPr>
              <w:sym w:font="Wingdings" w:char="F0FE"/>
            </w:r>
          </w:p>
          <w:p w14:paraId="560DE808" w14:textId="77777777" w:rsidR="00070322" w:rsidRPr="00055BB3" w:rsidRDefault="00070322" w:rsidP="005C302A">
            <w:pPr>
              <w:rPr>
                <w:bCs/>
              </w:rPr>
            </w:pPr>
            <w:r w:rsidRPr="00055BB3">
              <w:rPr>
                <w:bCs/>
              </w:rPr>
              <w:t xml:space="preserve">Neighbourhood Plan </w:t>
            </w:r>
            <w:r w:rsidRPr="00055BB3">
              <w:rPr>
                <w:bCs/>
              </w:rPr>
              <w:sym w:font="Wingdings" w:char="F0FE"/>
            </w:r>
          </w:p>
          <w:p w14:paraId="6E8B64DA" w14:textId="77777777" w:rsidR="00070322" w:rsidRPr="00055BB3" w:rsidRDefault="00070322" w:rsidP="005C302A">
            <w:pPr>
              <w:rPr>
                <w:bCs/>
              </w:rPr>
            </w:pPr>
          </w:p>
          <w:p w14:paraId="74A8F940" w14:textId="77777777" w:rsidR="00070322" w:rsidRPr="00055BB3" w:rsidRDefault="00070322" w:rsidP="005C302A">
            <w:pPr>
              <w:rPr>
                <w:bCs/>
              </w:rPr>
            </w:pPr>
            <w:r w:rsidRPr="00055BB3">
              <w:rPr>
                <w:bCs/>
              </w:rPr>
              <w:t>= 25% uncapped, paid to Parish</w:t>
            </w:r>
          </w:p>
        </w:tc>
        <w:tc>
          <w:tcPr>
            <w:tcW w:w="4261" w:type="dxa"/>
            <w:shd w:val="clear" w:color="auto" w:fill="auto"/>
          </w:tcPr>
          <w:p w14:paraId="116F0869" w14:textId="77777777" w:rsidR="00070322" w:rsidRPr="00055BB3" w:rsidRDefault="00070322" w:rsidP="005C302A">
            <w:pPr>
              <w:rPr>
                <w:bCs/>
              </w:rPr>
            </w:pPr>
          </w:p>
          <w:p w14:paraId="6BA256DE" w14:textId="77777777" w:rsidR="00070322" w:rsidRPr="00055BB3" w:rsidRDefault="00070322" w:rsidP="005C302A">
            <w:pPr>
              <w:rPr>
                <w:bCs/>
              </w:rPr>
            </w:pPr>
            <w:r w:rsidRPr="00055BB3">
              <w:rPr>
                <w:bCs/>
              </w:rPr>
              <w:t xml:space="preserve">Parish Council  </w:t>
            </w:r>
            <w:r w:rsidRPr="00055BB3">
              <w:rPr>
                <w:bCs/>
              </w:rPr>
              <w:sym w:font="Wingdings" w:char="F0FE"/>
            </w:r>
          </w:p>
          <w:p w14:paraId="4DEB81BA" w14:textId="77777777" w:rsidR="00070322" w:rsidRPr="00055BB3" w:rsidRDefault="00070322" w:rsidP="005C302A">
            <w:pPr>
              <w:rPr>
                <w:bCs/>
              </w:rPr>
            </w:pPr>
            <w:r w:rsidRPr="00055BB3">
              <w:rPr>
                <w:bCs/>
              </w:rPr>
              <w:t>Neighbourhood Plan</w:t>
            </w:r>
            <w:r w:rsidRPr="00055BB3">
              <w:rPr>
                <w:b/>
                <w:bCs/>
                <w:color w:val="FF0000"/>
              </w:rPr>
              <w:t xml:space="preserve"> </w:t>
            </w:r>
            <w:r w:rsidRPr="00055BB3">
              <w:rPr>
                <w:b/>
                <w:bCs/>
              </w:rPr>
              <w:sym w:font="Wingdings" w:char="F0FD"/>
            </w:r>
          </w:p>
          <w:p w14:paraId="5EDC98CE" w14:textId="77777777" w:rsidR="00070322" w:rsidRPr="00055BB3" w:rsidRDefault="00070322" w:rsidP="005C302A">
            <w:pPr>
              <w:rPr>
                <w:bCs/>
              </w:rPr>
            </w:pPr>
          </w:p>
          <w:p w14:paraId="4FDF07AD" w14:textId="77777777" w:rsidR="00070322" w:rsidRPr="00055BB3" w:rsidRDefault="00070322" w:rsidP="005C302A">
            <w:pPr>
              <w:rPr>
                <w:bCs/>
              </w:rPr>
            </w:pPr>
            <w:r w:rsidRPr="00055BB3">
              <w:rPr>
                <w:bCs/>
              </w:rPr>
              <w:t>= 15% capped at £100/dwelling, paid to Parish</w:t>
            </w:r>
          </w:p>
          <w:p w14:paraId="3A3666D1" w14:textId="77777777" w:rsidR="00070322" w:rsidRPr="00055BB3" w:rsidRDefault="00070322" w:rsidP="005C302A">
            <w:pPr>
              <w:rPr>
                <w:bCs/>
              </w:rPr>
            </w:pPr>
          </w:p>
        </w:tc>
      </w:tr>
      <w:tr w:rsidR="00070322" w:rsidRPr="00055BB3" w14:paraId="1EE4FC9B" w14:textId="77777777" w:rsidTr="005C302A">
        <w:tc>
          <w:tcPr>
            <w:tcW w:w="4261" w:type="dxa"/>
            <w:shd w:val="clear" w:color="auto" w:fill="auto"/>
          </w:tcPr>
          <w:p w14:paraId="00AA453C" w14:textId="77777777" w:rsidR="00070322" w:rsidRPr="00055BB3" w:rsidRDefault="00070322" w:rsidP="005C302A">
            <w:pPr>
              <w:rPr>
                <w:bCs/>
              </w:rPr>
            </w:pPr>
          </w:p>
          <w:p w14:paraId="1F2EAD38" w14:textId="77777777" w:rsidR="00070322" w:rsidRPr="00055BB3" w:rsidRDefault="00070322" w:rsidP="005C302A">
            <w:pPr>
              <w:rPr>
                <w:bCs/>
              </w:rPr>
            </w:pPr>
            <w:r w:rsidRPr="00055BB3">
              <w:rPr>
                <w:bCs/>
              </w:rPr>
              <w:t xml:space="preserve">Parish Council </w:t>
            </w:r>
            <w:r w:rsidRPr="00055BB3">
              <w:rPr>
                <w:b/>
                <w:bCs/>
              </w:rPr>
              <w:sym w:font="Wingdings" w:char="F0FD"/>
            </w:r>
          </w:p>
          <w:p w14:paraId="5CB80D71" w14:textId="77777777" w:rsidR="00070322" w:rsidRPr="00055BB3" w:rsidRDefault="00070322" w:rsidP="005C302A">
            <w:pPr>
              <w:rPr>
                <w:bCs/>
              </w:rPr>
            </w:pPr>
            <w:r w:rsidRPr="00055BB3">
              <w:rPr>
                <w:bCs/>
              </w:rPr>
              <w:t xml:space="preserve">Neighbourhood Plan  </w:t>
            </w:r>
            <w:r w:rsidRPr="00055BB3">
              <w:rPr>
                <w:bCs/>
              </w:rPr>
              <w:sym w:font="Wingdings" w:char="F0FE"/>
            </w:r>
          </w:p>
          <w:p w14:paraId="1BE89410" w14:textId="77777777" w:rsidR="00070322" w:rsidRPr="00055BB3" w:rsidRDefault="00070322" w:rsidP="005C302A">
            <w:pPr>
              <w:rPr>
                <w:bCs/>
              </w:rPr>
            </w:pPr>
          </w:p>
          <w:p w14:paraId="4484EA1A" w14:textId="77777777" w:rsidR="00070322" w:rsidRPr="00055BB3" w:rsidRDefault="00070322" w:rsidP="005C302A">
            <w:pPr>
              <w:rPr>
                <w:bCs/>
              </w:rPr>
            </w:pPr>
            <w:r w:rsidRPr="00055BB3">
              <w:rPr>
                <w:bCs/>
              </w:rPr>
              <w:t>= 25% uncapped, local authority consults with community</w:t>
            </w:r>
          </w:p>
        </w:tc>
        <w:tc>
          <w:tcPr>
            <w:tcW w:w="4261" w:type="dxa"/>
            <w:shd w:val="clear" w:color="auto" w:fill="auto"/>
          </w:tcPr>
          <w:p w14:paraId="3A15BB71" w14:textId="77777777" w:rsidR="00070322" w:rsidRPr="00055BB3" w:rsidRDefault="00070322" w:rsidP="005C302A">
            <w:pPr>
              <w:rPr>
                <w:bCs/>
              </w:rPr>
            </w:pPr>
          </w:p>
          <w:p w14:paraId="6EC4A947" w14:textId="77777777" w:rsidR="00070322" w:rsidRPr="00055BB3" w:rsidRDefault="00070322" w:rsidP="005C302A">
            <w:pPr>
              <w:rPr>
                <w:bCs/>
              </w:rPr>
            </w:pPr>
            <w:r w:rsidRPr="00055BB3">
              <w:rPr>
                <w:bCs/>
              </w:rPr>
              <w:t xml:space="preserve">Parish Council </w:t>
            </w:r>
            <w:r w:rsidRPr="00055BB3">
              <w:rPr>
                <w:b/>
                <w:bCs/>
              </w:rPr>
              <w:sym w:font="Wingdings" w:char="F0FD"/>
            </w:r>
          </w:p>
          <w:p w14:paraId="099EF0B9" w14:textId="77777777" w:rsidR="00070322" w:rsidRPr="00055BB3" w:rsidRDefault="00070322" w:rsidP="005C302A">
            <w:pPr>
              <w:rPr>
                <w:bCs/>
              </w:rPr>
            </w:pPr>
            <w:r w:rsidRPr="00055BB3">
              <w:rPr>
                <w:bCs/>
              </w:rPr>
              <w:t xml:space="preserve">Neighbourhood Plan </w:t>
            </w:r>
            <w:r w:rsidRPr="00055BB3">
              <w:rPr>
                <w:b/>
                <w:bCs/>
              </w:rPr>
              <w:sym w:font="Wingdings" w:char="F0FD"/>
            </w:r>
          </w:p>
          <w:p w14:paraId="31859A49" w14:textId="77777777" w:rsidR="00070322" w:rsidRPr="00055BB3" w:rsidRDefault="00070322" w:rsidP="005C302A">
            <w:pPr>
              <w:rPr>
                <w:bCs/>
              </w:rPr>
            </w:pPr>
          </w:p>
          <w:p w14:paraId="6D7CBB62" w14:textId="77777777" w:rsidR="00070322" w:rsidRPr="00055BB3" w:rsidRDefault="00070322" w:rsidP="005C302A">
            <w:pPr>
              <w:rPr>
                <w:bCs/>
              </w:rPr>
            </w:pPr>
            <w:r w:rsidRPr="00055BB3">
              <w:rPr>
                <w:bCs/>
              </w:rPr>
              <w:t>= 15% capped at £100/dwelling, local authority consults with community</w:t>
            </w:r>
          </w:p>
          <w:p w14:paraId="652D88C6" w14:textId="77777777" w:rsidR="00070322" w:rsidRPr="00055BB3" w:rsidRDefault="00070322" w:rsidP="005C302A">
            <w:pPr>
              <w:rPr>
                <w:bCs/>
              </w:rPr>
            </w:pPr>
          </w:p>
        </w:tc>
      </w:tr>
    </w:tbl>
    <w:p w14:paraId="51BB96A2" w14:textId="77777777" w:rsidR="00070322" w:rsidRPr="00055BB3" w:rsidRDefault="00070322" w:rsidP="00070322">
      <w:pPr>
        <w:rPr>
          <w:bCs/>
        </w:rPr>
      </w:pPr>
    </w:p>
    <w:p w14:paraId="248E93E7" w14:textId="77777777" w:rsidR="00070322" w:rsidRPr="00055BB3" w:rsidRDefault="00070322" w:rsidP="00070322">
      <w:pPr>
        <w:rPr>
          <w:bCs/>
        </w:rPr>
      </w:pPr>
      <w:r w:rsidRPr="00055BB3">
        <w:rPr>
          <w:bCs/>
        </w:rPr>
        <w:t xml:space="preserve">These percentages will still apply if there are no Neighbourhood Plans or Parish Councils, but we will keep these contributions, and engage with local communities to determine how best to spend the money. The funds will be passed on every six months, at the end of October and April. </w:t>
      </w:r>
    </w:p>
    <w:p w14:paraId="0CCCD099" w14:textId="77777777" w:rsidR="00070322" w:rsidRPr="00055BB3" w:rsidRDefault="00070322" w:rsidP="00070322">
      <w:pPr>
        <w:rPr>
          <w:bCs/>
        </w:rPr>
      </w:pPr>
    </w:p>
    <w:p w14:paraId="286B4298" w14:textId="77777777" w:rsidR="00070322" w:rsidRPr="00055BB3" w:rsidRDefault="00070322" w:rsidP="00070322">
      <w:pPr>
        <w:rPr>
          <w:bCs/>
        </w:rPr>
      </w:pPr>
      <w:r w:rsidRPr="00055BB3">
        <w:rPr>
          <w:bCs/>
        </w:rPr>
        <w:t xml:space="preserve">If a developer has contributed in kind CIL payments in the form of infrastructure, we will ensure a cash equivalent contribution to local communities. </w:t>
      </w:r>
    </w:p>
    <w:p w14:paraId="35E67FDC" w14:textId="77777777" w:rsidR="00070322" w:rsidRPr="00055BB3" w:rsidRDefault="00070322" w:rsidP="00070322">
      <w:pPr>
        <w:rPr>
          <w:bCs/>
        </w:rPr>
      </w:pPr>
    </w:p>
    <w:p w14:paraId="66C3EF10" w14:textId="77777777" w:rsidR="00070322" w:rsidRPr="00055BB3" w:rsidRDefault="00070322" w:rsidP="00070322">
      <w:pPr>
        <w:rPr>
          <w:bCs/>
        </w:rPr>
      </w:pPr>
      <w:r w:rsidRPr="00055BB3">
        <w:rPr>
          <w:bCs/>
        </w:rPr>
        <w:lastRenderedPageBreak/>
        <w:t xml:space="preserve">The percentage passed to neighbourhoods can be spent on a wider range of infrastructure than the rest of CIL, </w:t>
      </w:r>
      <w:proofErr w:type="gramStart"/>
      <w:r w:rsidRPr="00055BB3">
        <w:rPr>
          <w:bCs/>
        </w:rPr>
        <w:t>as long as</w:t>
      </w:r>
      <w:proofErr w:type="gramEnd"/>
      <w:r w:rsidRPr="00055BB3">
        <w:rPr>
          <w:bCs/>
        </w:rPr>
        <w:t xml:space="preserve"> it still supports the development of the area.</w:t>
      </w:r>
    </w:p>
    <w:p w14:paraId="60F9414A" w14:textId="77777777" w:rsidR="00070322" w:rsidRPr="00055BB3" w:rsidRDefault="00070322" w:rsidP="00070322">
      <w:pPr>
        <w:pStyle w:val="Heading1"/>
        <w:rPr>
          <w:sz w:val="24"/>
        </w:rPr>
      </w:pPr>
      <w:bookmarkStart w:id="12" w:name="_Toc410302626"/>
      <w:r w:rsidRPr="00055BB3">
        <w:rPr>
          <w:sz w:val="24"/>
        </w:rPr>
        <w:t>17.0 Review</w:t>
      </w:r>
      <w:bookmarkEnd w:id="12"/>
    </w:p>
    <w:p w14:paraId="554A8BFF" w14:textId="77777777" w:rsidR="00070322" w:rsidRPr="00055BB3" w:rsidRDefault="00070322" w:rsidP="00070322">
      <w:pPr>
        <w:rPr>
          <w:bCs/>
        </w:rPr>
      </w:pPr>
    </w:p>
    <w:p w14:paraId="27E9A6DB" w14:textId="36276B2B" w:rsidR="00070322" w:rsidRDefault="00070322" w:rsidP="00070322">
      <w:pPr>
        <w:rPr>
          <w:bCs/>
        </w:rPr>
      </w:pPr>
      <w:r w:rsidRPr="00055BB3">
        <w:rPr>
          <w:bCs/>
        </w:rPr>
        <w:t xml:space="preserve">The CIL viability study can only demonstrate viability at a moment in time and cannot forecast future changes in the market. </w:t>
      </w:r>
      <w:proofErr w:type="gramStart"/>
      <w:r w:rsidRPr="00055BB3">
        <w:rPr>
          <w:bCs/>
        </w:rPr>
        <w:t>Therefore</w:t>
      </w:r>
      <w:proofErr w:type="gramEnd"/>
      <w:r w:rsidRPr="00055BB3">
        <w:rPr>
          <w:bCs/>
        </w:rPr>
        <w:t xml:space="preserve"> we will keep our CIL charges under review to make sure they remain appropriate. If market conditions change significantly, or the infrastructure funding gap changes, we will review and alter the CIL charges as necessary. Any proposed changes to the CIL charge will be posted on the CIL pages on our website, and you will have the opportunity to comment before any changes are made.</w:t>
      </w:r>
    </w:p>
    <w:p w14:paraId="214714CF" w14:textId="0BB05179" w:rsidR="00C01D56" w:rsidRDefault="00C01D56" w:rsidP="00070322">
      <w:pPr>
        <w:rPr>
          <w:bCs/>
        </w:rPr>
      </w:pPr>
    </w:p>
    <w:p w14:paraId="06324429" w14:textId="6F38D705" w:rsidR="00C01D56" w:rsidRPr="00055BB3" w:rsidRDefault="00C01D56" w:rsidP="00070322">
      <w:pPr>
        <w:rPr>
          <w:bCs/>
        </w:rPr>
      </w:pPr>
      <w:r>
        <w:rPr>
          <w:bCs/>
        </w:rPr>
        <w:t>We anticipate the next CIL review will be completed in line with our Development Plan re</w:t>
      </w:r>
      <w:r w:rsidR="009E4403">
        <w:rPr>
          <w:bCs/>
        </w:rPr>
        <w:t>vi</w:t>
      </w:r>
      <w:r>
        <w:rPr>
          <w:bCs/>
        </w:rPr>
        <w:t>ew.</w:t>
      </w:r>
    </w:p>
    <w:p w14:paraId="49B2E4A4" w14:textId="77777777" w:rsidR="00070322" w:rsidRPr="00055BB3" w:rsidRDefault="00070322" w:rsidP="00070322">
      <w:pPr>
        <w:rPr>
          <w:bCs/>
        </w:rPr>
      </w:pPr>
    </w:p>
    <w:p w14:paraId="1BA74BBD" w14:textId="447E511B" w:rsidR="00070322" w:rsidRPr="00055BB3" w:rsidRDefault="00070322" w:rsidP="00070322">
      <w:pPr>
        <w:rPr>
          <w:b/>
          <w:bCs/>
        </w:rPr>
      </w:pPr>
      <w:r w:rsidRPr="00055BB3">
        <w:rPr>
          <w:bCs/>
        </w:rPr>
        <w:t>We can decide to stop charging a CIL at any time. If we were to do this, any CIL liability relating to a development which hasn’t started would be dissolved and no CIL would be payable.</w:t>
      </w:r>
    </w:p>
    <w:p w14:paraId="7C1162CE" w14:textId="6CFBFC8C" w:rsidR="00070322" w:rsidRPr="00055BB3" w:rsidRDefault="00070322" w:rsidP="00070322">
      <w:pPr>
        <w:pStyle w:val="Heading1"/>
        <w:rPr>
          <w:sz w:val="24"/>
        </w:rPr>
      </w:pPr>
      <w:bookmarkStart w:id="13" w:name="_Toc410302628"/>
      <w:r w:rsidRPr="00055BB3">
        <w:rPr>
          <w:sz w:val="24"/>
        </w:rPr>
        <w:t>1</w:t>
      </w:r>
      <w:r w:rsidR="00C01D56">
        <w:rPr>
          <w:sz w:val="24"/>
        </w:rPr>
        <w:t>8</w:t>
      </w:r>
      <w:r w:rsidRPr="00055BB3">
        <w:rPr>
          <w:sz w:val="24"/>
        </w:rPr>
        <w:t>.0 Sustainability</w:t>
      </w:r>
      <w:bookmarkEnd w:id="13"/>
    </w:p>
    <w:p w14:paraId="42086E2D" w14:textId="77777777" w:rsidR="00070322" w:rsidRPr="00055BB3" w:rsidRDefault="00070322" w:rsidP="00070322"/>
    <w:p w14:paraId="7878CF2C" w14:textId="225F00E4" w:rsidR="00070322" w:rsidRDefault="00070322" w:rsidP="00070322">
      <w:pPr>
        <w:rPr>
          <w:bCs/>
        </w:rPr>
      </w:pPr>
      <w:r w:rsidRPr="00055BB3">
        <w:rPr>
          <w:bCs/>
        </w:rPr>
        <w:t>The CIL charging schedule does not require a Sustainability Appraisal as it is a short financial document rather than a “land use planning” document.</w:t>
      </w:r>
    </w:p>
    <w:p w14:paraId="31B1E2F3" w14:textId="7049749B" w:rsidR="00C01D56" w:rsidRDefault="00C01D56" w:rsidP="00070322">
      <w:pPr>
        <w:rPr>
          <w:bCs/>
        </w:rPr>
      </w:pPr>
    </w:p>
    <w:p w14:paraId="4D0B4D21" w14:textId="34532702" w:rsidR="00BC5289" w:rsidRDefault="00BC5289" w:rsidP="00070322">
      <w:pPr>
        <w:rPr>
          <w:bCs/>
        </w:rPr>
      </w:pPr>
    </w:p>
    <w:p w14:paraId="750C4F3D" w14:textId="5F6C4517" w:rsidR="00BC5289" w:rsidRDefault="00BC5289" w:rsidP="00070322">
      <w:pPr>
        <w:rPr>
          <w:bCs/>
        </w:rPr>
      </w:pPr>
    </w:p>
    <w:p w14:paraId="57A37266" w14:textId="7ABFC6F5" w:rsidR="00BC5289" w:rsidRDefault="00BC5289" w:rsidP="00070322">
      <w:pPr>
        <w:rPr>
          <w:bCs/>
        </w:rPr>
      </w:pPr>
    </w:p>
    <w:p w14:paraId="2A4097F2" w14:textId="65FA3D86" w:rsidR="00BC5289" w:rsidRDefault="00BC5289" w:rsidP="00070322">
      <w:pPr>
        <w:rPr>
          <w:bCs/>
        </w:rPr>
      </w:pPr>
    </w:p>
    <w:p w14:paraId="4C173A0F" w14:textId="6C0C06AC" w:rsidR="00BC5289" w:rsidRDefault="00BC5289" w:rsidP="00070322">
      <w:pPr>
        <w:rPr>
          <w:bCs/>
        </w:rPr>
      </w:pPr>
    </w:p>
    <w:p w14:paraId="2468DA64" w14:textId="72D18BDD" w:rsidR="00BC5289" w:rsidRDefault="00BC5289" w:rsidP="00070322">
      <w:pPr>
        <w:rPr>
          <w:bCs/>
        </w:rPr>
      </w:pPr>
    </w:p>
    <w:p w14:paraId="6BEF97DE" w14:textId="579357B4" w:rsidR="00BC5289" w:rsidRDefault="00BC5289" w:rsidP="00070322">
      <w:pPr>
        <w:rPr>
          <w:bCs/>
        </w:rPr>
      </w:pPr>
    </w:p>
    <w:p w14:paraId="4A987DF7" w14:textId="34804556" w:rsidR="00BC5289" w:rsidRDefault="00BC5289" w:rsidP="00070322">
      <w:pPr>
        <w:rPr>
          <w:bCs/>
        </w:rPr>
      </w:pPr>
    </w:p>
    <w:p w14:paraId="37F0B55B" w14:textId="25D14719" w:rsidR="00BC5289" w:rsidRDefault="00BC5289" w:rsidP="00070322">
      <w:pPr>
        <w:rPr>
          <w:bCs/>
        </w:rPr>
      </w:pPr>
    </w:p>
    <w:p w14:paraId="68A16112" w14:textId="6594A781" w:rsidR="00BC5289" w:rsidRDefault="00BC5289" w:rsidP="00070322">
      <w:pPr>
        <w:rPr>
          <w:bCs/>
        </w:rPr>
      </w:pPr>
    </w:p>
    <w:p w14:paraId="12EADE80" w14:textId="61482917" w:rsidR="00BC5289" w:rsidRDefault="00BC5289" w:rsidP="00070322">
      <w:pPr>
        <w:rPr>
          <w:bCs/>
        </w:rPr>
      </w:pPr>
    </w:p>
    <w:p w14:paraId="285D4E45" w14:textId="524DD040" w:rsidR="00BC5289" w:rsidRDefault="00BC5289" w:rsidP="00070322">
      <w:pPr>
        <w:rPr>
          <w:bCs/>
        </w:rPr>
      </w:pPr>
    </w:p>
    <w:p w14:paraId="0E3B01B1" w14:textId="4A85BAAC" w:rsidR="00BC5289" w:rsidRDefault="00BC5289" w:rsidP="00070322">
      <w:pPr>
        <w:rPr>
          <w:bCs/>
        </w:rPr>
      </w:pPr>
    </w:p>
    <w:p w14:paraId="07572E6E" w14:textId="4D1AC4AD" w:rsidR="00BC5289" w:rsidRDefault="00BC5289" w:rsidP="00070322">
      <w:pPr>
        <w:rPr>
          <w:bCs/>
        </w:rPr>
      </w:pPr>
    </w:p>
    <w:p w14:paraId="16F80A46" w14:textId="11EFCB37" w:rsidR="00BC5289" w:rsidRDefault="00BC5289" w:rsidP="00070322">
      <w:pPr>
        <w:rPr>
          <w:bCs/>
        </w:rPr>
      </w:pPr>
    </w:p>
    <w:p w14:paraId="3753C523" w14:textId="47608DD9" w:rsidR="00BC5289" w:rsidRDefault="00BC5289" w:rsidP="00070322">
      <w:pPr>
        <w:rPr>
          <w:bCs/>
        </w:rPr>
      </w:pPr>
    </w:p>
    <w:p w14:paraId="5E2EA30F" w14:textId="1BA830C8" w:rsidR="00BC5289" w:rsidRDefault="00BC5289" w:rsidP="00070322">
      <w:pPr>
        <w:rPr>
          <w:bCs/>
        </w:rPr>
      </w:pPr>
    </w:p>
    <w:p w14:paraId="1E643636" w14:textId="67DF5ED3" w:rsidR="00BC5289" w:rsidRDefault="00BC5289" w:rsidP="00070322">
      <w:pPr>
        <w:rPr>
          <w:bCs/>
        </w:rPr>
      </w:pPr>
    </w:p>
    <w:p w14:paraId="7F45B8DD" w14:textId="4929CB2D" w:rsidR="00BC5289" w:rsidRDefault="00BC5289" w:rsidP="00070322">
      <w:pPr>
        <w:rPr>
          <w:bCs/>
        </w:rPr>
      </w:pPr>
    </w:p>
    <w:p w14:paraId="63645B3C" w14:textId="2EB8C57F" w:rsidR="00BC5289" w:rsidRDefault="00BC5289" w:rsidP="00070322">
      <w:pPr>
        <w:rPr>
          <w:bCs/>
        </w:rPr>
      </w:pPr>
    </w:p>
    <w:p w14:paraId="017D61BF" w14:textId="64F1C74F" w:rsidR="00BC5289" w:rsidRDefault="00BC5289" w:rsidP="00070322">
      <w:pPr>
        <w:rPr>
          <w:bCs/>
        </w:rPr>
      </w:pPr>
    </w:p>
    <w:p w14:paraId="2A781025" w14:textId="3CC11D0F" w:rsidR="00BC5289" w:rsidRDefault="00BC5289" w:rsidP="00070322">
      <w:pPr>
        <w:rPr>
          <w:bCs/>
        </w:rPr>
      </w:pPr>
    </w:p>
    <w:p w14:paraId="57848AD6" w14:textId="77777777" w:rsidR="00BC5289" w:rsidRDefault="00BC5289" w:rsidP="00070322">
      <w:pPr>
        <w:rPr>
          <w:bCs/>
        </w:rPr>
      </w:pPr>
    </w:p>
    <w:p w14:paraId="5E53E37E" w14:textId="659A6CB6" w:rsidR="00070322" w:rsidRPr="007271E8" w:rsidRDefault="00070322" w:rsidP="00070322">
      <w:pPr>
        <w:pStyle w:val="Heading1"/>
        <w:rPr>
          <w:sz w:val="24"/>
        </w:rPr>
      </w:pPr>
      <w:bookmarkStart w:id="14" w:name="_Toc410302644"/>
      <w:r w:rsidRPr="007271E8">
        <w:rPr>
          <w:sz w:val="24"/>
        </w:rPr>
        <w:lastRenderedPageBreak/>
        <w:t>Links to other relevant information:</w:t>
      </w:r>
      <w:bookmarkEnd w:id="14"/>
    </w:p>
    <w:p w14:paraId="0834B373" w14:textId="77777777" w:rsidR="00070322" w:rsidRPr="007271E8" w:rsidRDefault="007271E8" w:rsidP="00070322">
      <w:pPr>
        <w:rPr>
          <w:bCs/>
        </w:rPr>
      </w:pPr>
      <w:hyperlink r:id="rId24" w:history="1">
        <w:r w:rsidR="00070322" w:rsidRPr="007271E8">
          <w:rPr>
            <w:rStyle w:val="Hyperlink"/>
            <w:bCs/>
            <w:color w:val="auto"/>
          </w:rPr>
          <w:t>Planning Practice Guidance - Co</w:t>
        </w:r>
        <w:r w:rsidR="00070322" w:rsidRPr="007271E8">
          <w:rPr>
            <w:rStyle w:val="Hyperlink"/>
            <w:bCs/>
            <w:color w:val="auto"/>
          </w:rPr>
          <w:t>mmunity Infrastructure Levy</w:t>
        </w:r>
      </w:hyperlink>
    </w:p>
    <w:p w14:paraId="68D5023D" w14:textId="77777777" w:rsidR="00070322" w:rsidRPr="007271E8" w:rsidRDefault="00070322" w:rsidP="00070322">
      <w:pPr>
        <w:rPr>
          <w:bCs/>
        </w:rPr>
      </w:pPr>
    </w:p>
    <w:p w14:paraId="4EC3D898" w14:textId="77777777" w:rsidR="00070322" w:rsidRPr="007271E8" w:rsidRDefault="00070322" w:rsidP="00070322">
      <w:pPr>
        <w:rPr>
          <w:b/>
          <w:bCs/>
        </w:rPr>
      </w:pPr>
      <w:r w:rsidRPr="007271E8">
        <w:rPr>
          <w:b/>
          <w:bCs/>
        </w:rPr>
        <w:t>CIL regulations</w:t>
      </w:r>
    </w:p>
    <w:p w14:paraId="4A59116A" w14:textId="77777777" w:rsidR="00070322" w:rsidRPr="007271E8" w:rsidRDefault="00070322" w:rsidP="00070322">
      <w:pPr>
        <w:autoSpaceDE w:val="0"/>
        <w:autoSpaceDN w:val="0"/>
        <w:adjustRightInd w:val="0"/>
        <w:rPr>
          <w:lang w:eastAsia="en-GB"/>
        </w:rPr>
      </w:pPr>
      <w:r w:rsidRPr="007271E8">
        <w:rPr>
          <w:b/>
          <w:bCs/>
          <w:lang w:eastAsia="en-GB"/>
        </w:rPr>
        <w:t xml:space="preserve">HMSO </w:t>
      </w:r>
    </w:p>
    <w:p w14:paraId="13ED855C" w14:textId="1A21CD60" w:rsidR="005F3F12" w:rsidRPr="007271E8" w:rsidRDefault="00070322" w:rsidP="00070322">
      <w:pPr>
        <w:autoSpaceDE w:val="0"/>
        <w:autoSpaceDN w:val="0"/>
        <w:adjustRightInd w:val="0"/>
        <w:rPr>
          <w:u w:val="single"/>
          <w:lang w:eastAsia="en-GB"/>
        </w:rPr>
      </w:pPr>
      <w:r w:rsidRPr="007271E8">
        <w:rPr>
          <w:lang w:eastAsia="en-GB"/>
        </w:rPr>
        <w:t xml:space="preserve">Community Infrastructure Regulations (March 2010) (Statutory Instrument 2010 no. 948): </w:t>
      </w:r>
      <w:hyperlink r:id="rId25" w:history="1">
        <w:r w:rsidR="005F3F12" w:rsidRPr="007271E8">
          <w:rPr>
            <w:rStyle w:val="Hyperlink"/>
            <w:color w:val="auto"/>
            <w:lang w:eastAsia="en-GB"/>
          </w:rPr>
          <w:t>https://www.legislation.gov.uk/ukdsi/2010/9780111492390/contents</w:t>
        </w:r>
      </w:hyperlink>
    </w:p>
    <w:p w14:paraId="0A6C1BCF" w14:textId="77777777" w:rsidR="00070322" w:rsidRPr="007271E8" w:rsidRDefault="00070322" w:rsidP="00070322">
      <w:pPr>
        <w:autoSpaceDE w:val="0"/>
        <w:autoSpaceDN w:val="0"/>
        <w:adjustRightInd w:val="0"/>
        <w:rPr>
          <w:lang w:eastAsia="en-GB"/>
        </w:rPr>
      </w:pPr>
      <w:r w:rsidRPr="007271E8">
        <w:rPr>
          <w:lang w:eastAsia="en-GB"/>
        </w:rPr>
        <w:t xml:space="preserve">(It should be noted that these principal regulations have been amended in part by subsequent regulations and the HMSO web site should be consulted for all relevant amendments) </w:t>
      </w:r>
    </w:p>
    <w:p w14:paraId="70737C35" w14:textId="77777777" w:rsidR="00070322" w:rsidRPr="007271E8" w:rsidRDefault="00070322" w:rsidP="00070322">
      <w:pPr>
        <w:shd w:val="clear" w:color="auto" w:fill="FFFFFF"/>
        <w:rPr>
          <w:lang w:val="en" w:eastAsia="en-GB"/>
        </w:rPr>
      </w:pPr>
    </w:p>
    <w:p w14:paraId="1970FD4F" w14:textId="77777777" w:rsidR="00070322" w:rsidRPr="007271E8" w:rsidRDefault="00070322" w:rsidP="00070322">
      <w:pPr>
        <w:pStyle w:val="NormalWeb"/>
        <w:shd w:val="clear" w:color="auto" w:fill="FFFFFF"/>
        <w:spacing w:before="0" w:beforeAutospacing="0" w:after="0" w:afterAutospacing="0"/>
        <w:rPr>
          <w:rFonts w:ascii="Arial" w:hAnsi="Arial" w:cs="Arial"/>
          <w:b/>
          <w:lang w:val="en"/>
        </w:rPr>
      </w:pPr>
      <w:r w:rsidRPr="007271E8">
        <w:rPr>
          <w:rFonts w:ascii="Arial" w:hAnsi="Arial" w:cs="Arial"/>
          <w:b/>
          <w:lang w:val="en"/>
        </w:rPr>
        <w:t>Further information is available from:</w:t>
      </w:r>
    </w:p>
    <w:p w14:paraId="1EB28383" w14:textId="2773097D" w:rsidR="00070322" w:rsidRPr="007271E8" w:rsidRDefault="007271E8" w:rsidP="00070322">
      <w:pPr>
        <w:pStyle w:val="NormalWeb"/>
        <w:shd w:val="clear" w:color="auto" w:fill="FFFFFF"/>
        <w:spacing w:before="0" w:beforeAutospacing="0" w:after="0" w:afterAutospacing="0"/>
        <w:rPr>
          <w:rFonts w:ascii="Arial" w:hAnsi="Arial" w:cs="Arial"/>
          <w:lang w:val="en"/>
        </w:rPr>
      </w:pPr>
      <w:hyperlink r:id="rId26" w:history="1">
        <w:r w:rsidR="00070322" w:rsidRPr="007271E8">
          <w:rPr>
            <w:rStyle w:val="Hyperlink"/>
            <w:rFonts w:ascii="Arial" w:hAnsi="Arial" w:cs="Arial"/>
            <w:color w:val="auto"/>
            <w:lang w:val="en"/>
          </w:rPr>
          <w:t>The Planni</w:t>
        </w:r>
        <w:r w:rsidR="00070322" w:rsidRPr="007271E8">
          <w:rPr>
            <w:rStyle w:val="Hyperlink"/>
            <w:rFonts w:ascii="Arial" w:hAnsi="Arial" w:cs="Arial"/>
            <w:color w:val="auto"/>
            <w:lang w:val="en"/>
          </w:rPr>
          <w:t>ng Portal</w:t>
        </w:r>
      </w:hyperlink>
    </w:p>
    <w:p w14:paraId="416BFAD4" w14:textId="15C4FED6" w:rsidR="00070322" w:rsidRPr="007271E8" w:rsidRDefault="007271E8" w:rsidP="00070322">
      <w:pPr>
        <w:pStyle w:val="NormalWeb"/>
        <w:shd w:val="clear" w:color="auto" w:fill="FFFFFF"/>
        <w:spacing w:before="0" w:beforeAutospacing="0" w:after="0" w:afterAutospacing="0"/>
        <w:rPr>
          <w:rFonts w:ascii="Arial" w:hAnsi="Arial" w:cs="Arial"/>
          <w:lang w:val="en"/>
        </w:rPr>
      </w:pPr>
      <w:hyperlink r:id="rId27" w:history="1">
        <w:r w:rsidR="00070322" w:rsidRPr="007271E8">
          <w:rPr>
            <w:rStyle w:val="Hyperlink"/>
            <w:rFonts w:ascii="Arial" w:hAnsi="Arial" w:cs="Arial"/>
            <w:color w:val="auto"/>
            <w:lang w:val="en"/>
          </w:rPr>
          <w:t>The Planning Advisory Service - CIL</w:t>
        </w:r>
      </w:hyperlink>
    </w:p>
    <w:p w14:paraId="6682605E" w14:textId="08CB8863" w:rsidR="00070322" w:rsidRPr="007271E8" w:rsidRDefault="007271E8" w:rsidP="00070322">
      <w:pPr>
        <w:pStyle w:val="NormalWeb"/>
        <w:shd w:val="clear" w:color="auto" w:fill="FFFFFF"/>
        <w:spacing w:before="0" w:beforeAutospacing="0" w:after="0" w:afterAutospacing="0"/>
        <w:rPr>
          <w:rFonts w:ascii="Arial" w:hAnsi="Arial" w:cs="Arial"/>
          <w:lang w:val="en"/>
        </w:rPr>
      </w:pPr>
      <w:hyperlink r:id="rId28" w:history="1">
        <w:r w:rsidR="00070322" w:rsidRPr="007271E8">
          <w:rPr>
            <w:rStyle w:val="Hyperlink"/>
            <w:rFonts w:ascii="Arial" w:hAnsi="Arial" w:cs="Arial"/>
            <w:color w:val="auto"/>
            <w:lang w:val="en"/>
          </w:rPr>
          <w:t>CIL - How to make an appeal</w:t>
        </w:r>
      </w:hyperlink>
      <w:r w:rsidR="00070322" w:rsidRPr="007271E8">
        <w:rPr>
          <w:rFonts w:ascii="Arial" w:hAnsi="Arial" w:cs="Arial"/>
          <w:lang w:val="en"/>
        </w:rPr>
        <w:t xml:space="preserve"> </w:t>
      </w:r>
    </w:p>
    <w:p w14:paraId="32B7EFAF" w14:textId="264F9D29" w:rsidR="00070322" w:rsidRPr="00CF61C3" w:rsidRDefault="00070322" w:rsidP="00070322">
      <w:pPr>
        <w:pStyle w:val="NormalWeb"/>
        <w:shd w:val="clear" w:color="auto" w:fill="FFFFFF"/>
        <w:rPr>
          <w:rFonts w:ascii="Arial" w:hAnsi="Arial" w:cs="Arial"/>
          <w:b/>
          <w:color w:val="FF0000"/>
          <w:lang w:val="en"/>
        </w:rPr>
      </w:pPr>
      <w:r w:rsidRPr="00CF61C3">
        <w:rPr>
          <w:rFonts w:ascii="Arial" w:hAnsi="Arial" w:cs="Arial"/>
          <w:b/>
          <w:color w:val="333333"/>
          <w:lang w:val="en"/>
        </w:rPr>
        <w:br/>
      </w:r>
      <w:r w:rsidRPr="00CF61C3">
        <w:rPr>
          <w:rFonts w:ascii="Arial" w:hAnsi="Arial" w:cs="Arial"/>
          <w:b/>
          <w:color w:val="333333"/>
          <w:lang w:val="en"/>
        </w:rPr>
        <w:br/>
      </w:r>
    </w:p>
    <w:p w14:paraId="5572D7E0" w14:textId="77777777" w:rsidR="00070322" w:rsidRPr="00055BB3" w:rsidRDefault="00070322" w:rsidP="00070322">
      <w:pPr>
        <w:pStyle w:val="NormalWeb"/>
        <w:shd w:val="clear" w:color="auto" w:fill="FFFFFF"/>
        <w:rPr>
          <w:rFonts w:ascii="Arial" w:hAnsi="Arial" w:cs="Arial"/>
          <w:color w:val="333333"/>
          <w:lang w:val="en"/>
        </w:rPr>
      </w:pPr>
    </w:p>
    <w:p w14:paraId="12D176F6" w14:textId="77777777" w:rsidR="00070322" w:rsidRPr="00070322" w:rsidRDefault="00070322" w:rsidP="00070322">
      <w:pPr>
        <w:rPr>
          <w:bCs/>
          <w:iCs/>
        </w:rPr>
      </w:pPr>
    </w:p>
    <w:p w14:paraId="0DD9F8E0" w14:textId="29DB67C6" w:rsidR="004D528B" w:rsidRDefault="004D528B" w:rsidP="0080444C">
      <w:pPr>
        <w:jc w:val="center"/>
      </w:pPr>
    </w:p>
    <w:p w14:paraId="6128E59A" w14:textId="77777777" w:rsidR="0080444C" w:rsidRDefault="0080444C" w:rsidP="0080444C"/>
    <w:p w14:paraId="2D194B53" w14:textId="3E6B8A31" w:rsidR="004D528B" w:rsidRDefault="004D528B" w:rsidP="006C5BF8"/>
    <w:p w14:paraId="3EA147E0" w14:textId="4C4F408E" w:rsidR="004D528B" w:rsidRDefault="004D528B" w:rsidP="006C5BF8"/>
    <w:p w14:paraId="176C5BCF" w14:textId="330ACDF8" w:rsidR="004D528B" w:rsidRDefault="004D528B" w:rsidP="006C5BF8"/>
    <w:p w14:paraId="408C7EA8" w14:textId="68E3CB85" w:rsidR="004D528B" w:rsidRDefault="004D528B" w:rsidP="006C5BF8"/>
    <w:p w14:paraId="06039B04" w14:textId="535E98EE" w:rsidR="004D528B" w:rsidRDefault="004D528B" w:rsidP="006C5BF8"/>
    <w:p w14:paraId="6F1DD04E" w14:textId="65CD251D" w:rsidR="004D528B" w:rsidRDefault="004D528B" w:rsidP="006C5BF8"/>
    <w:p w14:paraId="0A15AF37" w14:textId="7CEF971C" w:rsidR="004D528B" w:rsidRDefault="004D528B" w:rsidP="006C5BF8"/>
    <w:p w14:paraId="0E850DFA" w14:textId="2175EC97" w:rsidR="004D528B" w:rsidRDefault="004D528B" w:rsidP="006C5BF8"/>
    <w:p w14:paraId="44021C3F" w14:textId="200269FD" w:rsidR="004D528B" w:rsidRDefault="004D528B" w:rsidP="006C5BF8"/>
    <w:p w14:paraId="17A8E53B" w14:textId="456EC580" w:rsidR="004D528B" w:rsidRDefault="004D528B" w:rsidP="006C5BF8"/>
    <w:p w14:paraId="459B9AC3" w14:textId="7D8D0DD1" w:rsidR="004D528B" w:rsidRDefault="004D528B" w:rsidP="006C5BF8"/>
    <w:p w14:paraId="2758091B" w14:textId="77622626" w:rsidR="004D528B" w:rsidRDefault="004D528B" w:rsidP="006C5BF8"/>
    <w:p w14:paraId="0B5E7BBD" w14:textId="42BDC5EC" w:rsidR="004D528B" w:rsidRDefault="004D528B" w:rsidP="006C5BF8"/>
    <w:p w14:paraId="055EB46C" w14:textId="1D3C43DE" w:rsidR="004D528B" w:rsidRDefault="004D528B" w:rsidP="006C5BF8"/>
    <w:p w14:paraId="2C044AB4" w14:textId="3BB2B7ED" w:rsidR="004D528B" w:rsidRDefault="004D528B" w:rsidP="006C5BF8"/>
    <w:p w14:paraId="5246E573" w14:textId="04DD4B44" w:rsidR="004D528B" w:rsidRDefault="004D528B" w:rsidP="006C5BF8"/>
    <w:p w14:paraId="389D250E" w14:textId="7FA34A25" w:rsidR="004D528B" w:rsidRDefault="004D528B" w:rsidP="006C5BF8"/>
    <w:p w14:paraId="36607942" w14:textId="2E18B0B8" w:rsidR="004D528B" w:rsidRDefault="004D528B" w:rsidP="006C5BF8"/>
    <w:p w14:paraId="04405139" w14:textId="3278AB09" w:rsidR="004D528B" w:rsidRDefault="004D528B" w:rsidP="006C5BF8"/>
    <w:p w14:paraId="5A463C01" w14:textId="5378D3FE" w:rsidR="004D528B" w:rsidRDefault="004D528B" w:rsidP="006C5BF8"/>
    <w:p w14:paraId="5D69AB1C" w14:textId="39D64A55" w:rsidR="004D528B" w:rsidRDefault="004D528B" w:rsidP="006C5BF8"/>
    <w:p w14:paraId="6CEE6DB3" w14:textId="11F36F88" w:rsidR="004D528B" w:rsidRDefault="004D528B" w:rsidP="006C5BF8"/>
    <w:p w14:paraId="430A5F7D" w14:textId="7FFE2941" w:rsidR="004D528B" w:rsidRDefault="004D528B" w:rsidP="006C5BF8"/>
    <w:p w14:paraId="5481A390" w14:textId="0C6CBC62" w:rsidR="004D528B" w:rsidRDefault="004D528B" w:rsidP="006C5BF8"/>
    <w:p w14:paraId="4283B2C0" w14:textId="516D3D9A" w:rsidR="004D528B" w:rsidRDefault="004D528B" w:rsidP="006C5BF8"/>
    <w:p w14:paraId="66E10C38" w14:textId="629EA0ED" w:rsidR="004D528B" w:rsidRDefault="004D528B" w:rsidP="006C5BF8"/>
    <w:p w14:paraId="7A90831A" w14:textId="150288F0" w:rsidR="004D528B" w:rsidRDefault="004D528B" w:rsidP="006C5BF8"/>
    <w:p w14:paraId="1D4C28D8" w14:textId="0DC7AF27" w:rsidR="004D528B" w:rsidRDefault="004D528B" w:rsidP="006C5BF8"/>
    <w:p w14:paraId="409725FD" w14:textId="019924F2" w:rsidR="004D528B" w:rsidRDefault="004D528B" w:rsidP="006C5BF8"/>
    <w:p w14:paraId="6B2AF6B5" w14:textId="6A4770B1" w:rsidR="004D528B" w:rsidRDefault="004D528B" w:rsidP="006C5BF8"/>
    <w:p w14:paraId="51BB341B" w14:textId="15CAC8AD" w:rsidR="004D528B" w:rsidRDefault="004D528B" w:rsidP="006C5BF8"/>
    <w:p w14:paraId="1F8158A9" w14:textId="40330DA2" w:rsidR="004D528B" w:rsidRDefault="004D528B" w:rsidP="006C5BF8"/>
    <w:p w14:paraId="019EC936" w14:textId="4399C96D" w:rsidR="004D528B" w:rsidRDefault="004D528B" w:rsidP="006C5BF8"/>
    <w:p w14:paraId="7DD125E6" w14:textId="5BA7E2E9" w:rsidR="004D528B" w:rsidRDefault="004D528B" w:rsidP="006C5BF8"/>
    <w:p w14:paraId="52B8F64F" w14:textId="1CCE2398" w:rsidR="004D528B" w:rsidRDefault="004D528B" w:rsidP="006C5BF8"/>
    <w:p w14:paraId="2B385177" w14:textId="2A9A1481" w:rsidR="004D528B" w:rsidRDefault="004D528B" w:rsidP="006C5BF8"/>
    <w:p w14:paraId="74115D45" w14:textId="59341A0C" w:rsidR="004D528B" w:rsidRDefault="004D528B" w:rsidP="006C5BF8"/>
    <w:p w14:paraId="3ED83379" w14:textId="073B7F21" w:rsidR="004D528B" w:rsidRDefault="004D528B" w:rsidP="006C5BF8"/>
    <w:p w14:paraId="1088C41F" w14:textId="69D89667" w:rsidR="004D528B" w:rsidRDefault="004D528B" w:rsidP="006C5BF8"/>
    <w:p w14:paraId="350ECFA6" w14:textId="77777777" w:rsidR="004D528B" w:rsidRPr="006C5BF8" w:rsidRDefault="004D528B" w:rsidP="006C5BF8"/>
    <w:sectPr w:rsidR="004D528B" w:rsidRPr="006C5BF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455F3" w14:textId="77777777" w:rsidR="004D528B" w:rsidRDefault="004D528B" w:rsidP="009778FA">
      <w:r>
        <w:separator/>
      </w:r>
    </w:p>
  </w:endnote>
  <w:endnote w:type="continuationSeparator" w:id="0">
    <w:p w14:paraId="59553BE1" w14:textId="77777777" w:rsidR="004D528B" w:rsidRDefault="004D528B" w:rsidP="0097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2E1B" w14:textId="77777777" w:rsidR="00D8478B" w:rsidRDefault="003444C5">
    <w:pPr>
      <w:pStyle w:val="Footer"/>
    </w:pPr>
    <w:r>
      <w:rPr>
        <w:noProof/>
        <w:lang w:eastAsia="en-GB"/>
      </w:rPr>
      <w:drawing>
        <wp:inline distT="0" distB="0" distL="0" distR="0" wp14:anchorId="4CE7493C" wp14:editId="5FF16913">
          <wp:extent cx="5732145" cy="1706245"/>
          <wp:effectExtent l="0" t="0" r="1905" b="8255"/>
          <wp:docPr id="1" name="Picture 7" descr="C:\Users\bccabnmy\Desktop\Random stuff\Brand guidelines\88.3_A4_Corporate_Cover_Portrait resiz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ccabnmy\Desktop\Random stuff\Brand guidelines\88.3_A4_Corporate_Cover_Portrait resiz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17062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D9BE" w14:textId="77777777" w:rsidR="00B92050" w:rsidRDefault="00B92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FF9C4" w14:textId="77777777" w:rsidR="004D528B" w:rsidRDefault="004D528B" w:rsidP="009778FA">
      <w:r>
        <w:separator/>
      </w:r>
    </w:p>
  </w:footnote>
  <w:footnote w:type="continuationSeparator" w:id="0">
    <w:p w14:paraId="7F2D158F" w14:textId="77777777" w:rsidR="004D528B" w:rsidRDefault="004D528B" w:rsidP="00977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925"/>
    <w:multiLevelType w:val="hybridMultilevel"/>
    <w:tmpl w:val="7AF4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A198E"/>
    <w:multiLevelType w:val="hybridMultilevel"/>
    <w:tmpl w:val="16C2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C0F5E"/>
    <w:multiLevelType w:val="hybridMultilevel"/>
    <w:tmpl w:val="9A1CA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665306"/>
    <w:multiLevelType w:val="hybridMultilevel"/>
    <w:tmpl w:val="877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6083F"/>
    <w:multiLevelType w:val="hybridMultilevel"/>
    <w:tmpl w:val="3352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357055"/>
    <w:multiLevelType w:val="hybridMultilevel"/>
    <w:tmpl w:val="9F702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273BB"/>
    <w:multiLevelType w:val="hybridMultilevel"/>
    <w:tmpl w:val="45ECD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8B"/>
    <w:rsid w:val="000057F3"/>
    <w:rsid w:val="0002661E"/>
    <w:rsid w:val="00070322"/>
    <w:rsid w:val="001C2097"/>
    <w:rsid w:val="001E6DD6"/>
    <w:rsid w:val="00243D02"/>
    <w:rsid w:val="00247138"/>
    <w:rsid w:val="00251AED"/>
    <w:rsid w:val="00284723"/>
    <w:rsid w:val="003444C5"/>
    <w:rsid w:val="00354C51"/>
    <w:rsid w:val="003E156F"/>
    <w:rsid w:val="004D528B"/>
    <w:rsid w:val="00593632"/>
    <w:rsid w:val="005C303A"/>
    <w:rsid w:val="005F3F12"/>
    <w:rsid w:val="00602307"/>
    <w:rsid w:val="00631BD1"/>
    <w:rsid w:val="006506C1"/>
    <w:rsid w:val="00682E5C"/>
    <w:rsid w:val="006A7872"/>
    <w:rsid w:val="006C5BF8"/>
    <w:rsid w:val="006D7B60"/>
    <w:rsid w:val="007271E8"/>
    <w:rsid w:val="00736A09"/>
    <w:rsid w:val="007829B0"/>
    <w:rsid w:val="007C3403"/>
    <w:rsid w:val="0080444C"/>
    <w:rsid w:val="00837626"/>
    <w:rsid w:val="008842AC"/>
    <w:rsid w:val="00947510"/>
    <w:rsid w:val="00955A0F"/>
    <w:rsid w:val="009663A8"/>
    <w:rsid w:val="009778FA"/>
    <w:rsid w:val="009E4403"/>
    <w:rsid w:val="00A20B05"/>
    <w:rsid w:val="00A23568"/>
    <w:rsid w:val="00AC01CE"/>
    <w:rsid w:val="00B62A7D"/>
    <w:rsid w:val="00B92050"/>
    <w:rsid w:val="00BC5289"/>
    <w:rsid w:val="00BD2544"/>
    <w:rsid w:val="00BD4E8C"/>
    <w:rsid w:val="00C01D56"/>
    <w:rsid w:val="00C12FF4"/>
    <w:rsid w:val="00D45645"/>
    <w:rsid w:val="00D65B37"/>
    <w:rsid w:val="00D8478B"/>
    <w:rsid w:val="00DA7EC8"/>
    <w:rsid w:val="00E50EB0"/>
    <w:rsid w:val="00E761DA"/>
    <w:rsid w:val="00F6359D"/>
    <w:rsid w:val="00F91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0049B5"/>
  <w15:docId w15:val="{37895530-D8B7-4F24-97A8-A6B9C5B7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F8"/>
    <w:rPr>
      <w:rFonts w:ascii="Arial" w:hAnsi="Arial"/>
      <w:sz w:val="24"/>
      <w:szCs w:val="24"/>
      <w:lang w:eastAsia="en-US"/>
    </w:rPr>
  </w:style>
  <w:style w:type="paragraph" w:styleId="Heading1">
    <w:name w:val="heading 1"/>
    <w:aliases w:val="Front page main header,01 Heading-our success,01 Heading- Company,Oscar Faber 1,Section Heading,Section,Section 1,Oscar Faber 1 Char,Section Heading Char,Section Char,Section 1 Char,chapter heading,Outline1,1 ghost,g,Chapter Hdg"/>
    <w:basedOn w:val="Normal"/>
    <w:next w:val="Heading2"/>
    <w:link w:val="Heading1Char"/>
    <w:qFormat/>
    <w:rsid w:val="00947510"/>
    <w:pPr>
      <w:keepNext/>
      <w:keepLines/>
      <w:spacing w:before="480"/>
      <w:outlineLvl w:val="0"/>
    </w:pPr>
    <w:rPr>
      <w:rFonts w:eastAsia="Times New Roman"/>
      <w:b/>
      <w:bCs/>
      <w:sz w:val="68"/>
      <w:szCs w:val="28"/>
    </w:rPr>
  </w:style>
  <w:style w:type="paragraph" w:styleId="Heading2">
    <w:name w:val="heading 2"/>
    <w:aliases w:val="Front page main sub-header"/>
    <w:basedOn w:val="Normal"/>
    <w:next w:val="Normal"/>
    <w:link w:val="Heading2Char"/>
    <w:uiPriority w:val="9"/>
    <w:semiHidden/>
    <w:unhideWhenUsed/>
    <w:qFormat/>
    <w:rsid w:val="00947510"/>
    <w:pPr>
      <w:keepNext/>
      <w:keepLines/>
      <w:spacing w:before="200"/>
      <w:outlineLvl w:val="1"/>
    </w:pPr>
    <w:rPr>
      <w:rFonts w:eastAsia="Times New Roman"/>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8FA"/>
    <w:pPr>
      <w:tabs>
        <w:tab w:val="center" w:pos="4513"/>
        <w:tab w:val="right" w:pos="9026"/>
      </w:tabs>
    </w:pPr>
  </w:style>
  <w:style w:type="character" w:customStyle="1" w:styleId="HeaderChar">
    <w:name w:val="Header Char"/>
    <w:basedOn w:val="DefaultParagraphFont"/>
    <w:link w:val="Header"/>
    <w:uiPriority w:val="99"/>
    <w:rsid w:val="009778FA"/>
  </w:style>
  <w:style w:type="paragraph" w:styleId="Footer">
    <w:name w:val="footer"/>
    <w:basedOn w:val="Normal"/>
    <w:link w:val="FooterChar"/>
    <w:uiPriority w:val="99"/>
    <w:unhideWhenUsed/>
    <w:rsid w:val="009778FA"/>
    <w:pPr>
      <w:tabs>
        <w:tab w:val="center" w:pos="4513"/>
        <w:tab w:val="right" w:pos="9026"/>
      </w:tabs>
    </w:pPr>
  </w:style>
  <w:style w:type="character" w:customStyle="1" w:styleId="FooterChar">
    <w:name w:val="Footer Char"/>
    <w:basedOn w:val="DefaultParagraphFont"/>
    <w:link w:val="Footer"/>
    <w:uiPriority w:val="99"/>
    <w:rsid w:val="009778FA"/>
  </w:style>
  <w:style w:type="paragraph" w:styleId="BalloonText">
    <w:name w:val="Balloon Text"/>
    <w:basedOn w:val="Normal"/>
    <w:link w:val="BalloonTextChar"/>
    <w:uiPriority w:val="99"/>
    <w:semiHidden/>
    <w:unhideWhenUsed/>
    <w:rsid w:val="009778FA"/>
    <w:rPr>
      <w:rFonts w:ascii="Tahoma" w:hAnsi="Tahoma" w:cs="Tahoma"/>
      <w:sz w:val="16"/>
      <w:szCs w:val="16"/>
    </w:rPr>
  </w:style>
  <w:style w:type="character" w:customStyle="1" w:styleId="BalloonTextChar">
    <w:name w:val="Balloon Text Char"/>
    <w:link w:val="BalloonText"/>
    <w:uiPriority w:val="99"/>
    <w:semiHidden/>
    <w:rsid w:val="009778FA"/>
    <w:rPr>
      <w:rFonts w:ascii="Tahoma" w:hAnsi="Tahoma" w:cs="Tahoma"/>
      <w:sz w:val="16"/>
      <w:szCs w:val="16"/>
    </w:rPr>
  </w:style>
  <w:style w:type="character" w:customStyle="1" w:styleId="Heading2Char">
    <w:name w:val="Heading 2 Char"/>
    <w:aliases w:val="Front page main sub-header Char"/>
    <w:link w:val="Heading2"/>
    <w:uiPriority w:val="9"/>
    <w:semiHidden/>
    <w:rsid w:val="00947510"/>
    <w:rPr>
      <w:rFonts w:ascii="Arial" w:eastAsia="Times New Roman" w:hAnsi="Arial" w:cs="Times New Roman"/>
      <w:b/>
      <w:bCs/>
      <w:sz w:val="48"/>
      <w:szCs w:val="26"/>
    </w:rPr>
  </w:style>
  <w:style w:type="character" w:customStyle="1" w:styleId="Heading1Char">
    <w:name w:val="Heading 1 Char"/>
    <w:aliases w:val="Front page main header Char,01 Heading-our success Char,01 Heading- Company Char,Oscar Faber 1 Char1,Section Heading Char1,Section Char1,Section 1 Char1,Oscar Faber 1 Char Char,Section Heading Char Char,Section Char Char,Outline1 Char"/>
    <w:link w:val="Heading1"/>
    <w:rsid w:val="00947510"/>
    <w:rPr>
      <w:rFonts w:ascii="Arial" w:eastAsia="Times New Roman" w:hAnsi="Arial" w:cs="Times New Roman"/>
      <w:b/>
      <w:bCs/>
      <w:sz w:val="68"/>
      <w:szCs w:val="28"/>
    </w:rPr>
  </w:style>
  <w:style w:type="paragraph" w:styleId="Title">
    <w:name w:val="Title"/>
    <w:aliases w:val="Section header"/>
    <w:basedOn w:val="Normal"/>
    <w:next w:val="Normal"/>
    <w:link w:val="TitleChar"/>
    <w:uiPriority w:val="10"/>
    <w:qFormat/>
    <w:rsid w:val="003444C5"/>
    <w:pPr>
      <w:spacing w:after="300"/>
      <w:contextualSpacing/>
    </w:pPr>
    <w:rPr>
      <w:rFonts w:eastAsia="Times New Roman"/>
      <w:b/>
      <w:spacing w:val="5"/>
      <w:kern w:val="28"/>
      <w:sz w:val="36"/>
      <w:szCs w:val="52"/>
    </w:rPr>
  </w:style>
  <w:style w:type="character" w:customStyle="1" w:styleId="TitleChar">
    <w:name w:val="Title Char"/>
    <w:aliases w:val="Section header Char"/>
    <w:link w:val="Title"/>
    <w:uiPriority w:val="10"/>
    <w:rsid w:val="003444C5"/>
    <w:rPr>
      <w:rFonts w:ascii="Arial" w:eastAsia="Times New Roman" w:hAnsi="Arial"/>
      <w:b/>
      <w:spacing w:val="5"/>
      <w:kern w:val="28"/>
      <w:sz w:val="36"/>
      <w:szCs w:val="52"/>
      <w:lang w:eastAsia="en-US"/>
    </w:rPr>
  </w:style>
  <w:style w:type="paragraph" w:styleId="Subtitle">
    <w:name w:val="Subtitle"/>
    <w:aliases w:val="Section sub-header"/>
    <w:basedOn w:val="Normal"/>
    <w:next w:val="Normal"/>
    <w:link w:val="SubtitleChar"/>
    <w:uiPriority w:val="11"/>
    <w:qFormat/>
    <w:rsid w:val="006C5BF8"/>
    <w:pPr>
      <w:outlineLvl w:val="1"/>
    </w:pPr>
    <w:rPr>
      <w:rFonts w:eastAsiaTheme="majorEastAsia" w:cstheme="majorBidi"/>
      <w:b/>
      <w:sz w:val="28"/>
    </w:rPr>
  </w:style>
  <w:style w:type="character" w:customStyle="1" w:styleId="SubtitleChar">
    <w:name w:val="Subtitle Char"/>
    <w:aliases w:val="Section sub-header Char"/>
    <w:basedOn w:val="DefaultParagraphFont"/>
    <w:link w:val="Subtitle"/>
    <w:uiPriority w:val="11"/>
    <w:rsid w:val="006C5BF8"/>
    <w:rPr>
      <w:rFonts w:ascii="Arial" w:eastAsiaTheme="majorEastAsia" w:hAnsi="Arial" w:cstheme="majorBidi"/>
      <w:b/>
      <w:sz w:val="28"/>
      <w:szCs w:val="24"/>
      <w:lang w:eastAsia="en-US"/>
    </w:rPr>
  </w:style>
  <w:style w:type="paragraph" w:styleId="NoSpacing">
    <w:name w:val="No Spacing"/>
    <w:uiPriority w:val="1"/>
    <w:qFormat/>
    <w:rsid w:val="00C12FF4"/>
    <w:rPr>
      <w:rFonts w:ascii="Arial" w:hAnsi="Arial"/>
      <w:sz w:val="24"/>
      <w:szCs w:val="24"/>
      <w:lang w:eastAsia="en-US"/>
    </w:rPr>
  </w:style>
  <w:style w:type="character" w:styleId="Hyperlink">
    <w:name w:val="Hyperlink"/>
    <w:uiPriority w:val="99"/>
    <w:rsid w:val="00F91504"/>
    <w:rPr>
      <w:color w:val="0000FF"/>
      <w:u w:val="single"/>
    </w:rPr>
  </w:style>
  <w:style w:type="character" w:styleId="UnresolvedMention">
    <w:name w:val="Unresolved Mention"/>
    <w:basedOn w:val="DefaultParagraphFont"/>
    <w:uiPriority w:val="99"/>
    <w:semiHidden/>
    <w:unhideWhenUsed/>
    <w:rsid w:val="00F91504"/>
    <w:rPr>
      <w:color w:val="605E5C"/>
      <w:shd w:val="clear" w:color="auto" w:fill="E1DFDD"/>
    </w:rPr>
  </w:style>
  <w:style w:type="paragraph" w:styleId="ListParagraph">
    <w:name w:val="List Paragraph"/>
    <w:basedOn w:val="Normal"/>
    <w:uiPriority w:val="34"/>
    <w:qFormat/>
    <w:rsid w:val="00070322"/>
    <w:pPr>
      <w:ind w:left="720"/>
      <w:contextualSpacing/>
    </w:pPr>
  </w:style>
  <w:style w:type="character" w:customStyle="1" w:styleId="apple-converted-space">
    <w:name w:val="apple-converted-space"/>
    <w:basedOn w:val="DefaultParagraphFont"/>
    <w:rsid w:val="00070322"/>
  </w:style>
  <w:style w:type="paragraph" w:styleId="NormalWeb">
    <w:name w:val="Normal (Web)"/>
    <w:basedOn w:val="Normal"/>
    <w:uiPriority w:val="99"/>
    <w:rsid w:val="00070322"/>
    <w:pPr>
      <w:spacing w:before="100" w:beforeAutospacing="1" w:after="100" w:afterAutospacing="1"/>
    </w:pPr>
    <w:rPr>
      <w:rFonts w:ascii="Times New Roman" w:hAnsi="Times New Roman"/>
      <w:lang w:eastAsia="en-GB"/>
    </w:rPr>
  </w:style>
  <w:style w:type="character" w:styleId="FollowedHyperlink">
    <w:name w:val="FollowedHyperlink"/>
    <w:basedOn w:val="DefaultParagraphFont"/>
    <w:uiPriority w:val="99"/>
    <w:semiHidden/>
    <w:unhideWhenUsed/>
    <w:rsid w:val="005F3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28558">
      <w:bodyDiv w:val="1"/>
      <w:marLeft w:val="0"/>
      <w:marRight w:val="0"/>
      <w:marTop w:val="0"/>
      <w:marBottom w:val="0"/>
      <w:divBdr>
        <w:top w:val="none" w:sz="0" w:space="0" w:color="auto"/>
        <w:left w:val="none" w:sz="0" w:space="0" w:color="auto"/>
        <w:bottom w:val="none" w:sz="0" w:space="0" w:color="auto"/>
        <w:right w:val="none" w:sz="0" w:space="0" w:color="auto"/>
      </w:divBdr>
    </w:div>
    <w:div w:id="7078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ley.claybrook@birmingham.gov.uk" TargetMode="External"/><Relationship Id="rId13" Type="http://schemas.openxmlformats.org/officeDocument/2006/relationships/hyperlink" Target="https://www.birmingham.gov.uk/info/20181/planning_obligations/62/community_infrastructure_levy_cil" TargetMode="External"/><Relationship Id="rId18" Type="http://schemas.openxmlformats.org/officeDocument/2006/relationships/hyperlink" Target="https://www.planningportal.co.uk/planning/policy-and-legislation/CIL/download-the-forms" TargetMode="External"/><Relationship Id="rId26" Type="http://schemas.openxmlformats.org/officeDocument/2006/relationships/hyperlink" Target="https://www.planningportal.co.uk/planning/policy-and-legislation/CIL/download-the-forms" TargetMode="External"/><Relationship Id="rId3" Type="http://schemas.openxmlformats.org/officeDocument/2006/relationships/settings" Target="settings.xml"/><Relationship Id="rId21" Type="http://schemas.openxmlformats.org/officeDocument/2006/relationships/hyperlink" Target="https://www.planningportal.co.uk/planning/policy-and-legislation/CIL/download-the-forms" TargetMode="External"/><Relationship Id="rId7" Type="http://schemas.openxmlformats.org/officeDocument/2006/relationships/footer" Target="footer1.xml"/><Relationship Id="rId12" Type="http://schemas.openxmlformats.org/officeDocument/2006/relationships/hyperlink" Target="https://www.birmingham.gov.uk/info/20181/planning_obligations/62/community_infrastructure_levy_cil" TargetMode="External"/><Relationship Id="rId17" Type="http://schemas.openxmlformats.org/officeDocument/2006/relationships/hyperlink" Target="mailto:hayley.claybrook@birmingham.gov.uk" TargetMode="External"/><Relationship Id="rId25" Type="http://schemas.openxmlformats.org/officeDocument/2006/relationships/hyperlink" Target="https://www.legislation.gov.uk/ukdsi/2010/9780111492390/contents" TargetMode="External"/><Relationship Id="rId2" Type="http://schemas.openxmlformats.org/officeDocument/2006/relationships/styles" Target="styles.xml"/><Relationship Id="rId16" Type="http://schemas.openxmlformats.org/officeDocument/2006/relationships/hyperlink" Target="https://www.legislation.gov.uk/ukdsi/2010/9780111492390/contents" TargetMode="External"/><Relationship Id="rId20" Type="http://schemas.openxmlformats.org/officeDocument/2006/relationships/hyperlink" Target="https://www.planningportal.co.uk/planning/policy-and-legislation/CIL/download-the-form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rmingham.gov.uk/plan2031/evidencebase" TargetMode="External"/><Relationship Id="rId24" Type="http://schemas.openxmlformats.org/officeDocument/2006/relationships/hyperlink" Target="http://planningguidance.planningportal.gov.uk/blog/guidance/community-infrastructure-levy/" TargetMode="External"/><Relationship Id="rId5" Type="http://schemas.openxmlformats.org/officeDocument/2006/relationships/footnotes" Target="footnotes.xml"/><Relationship Id="rId15" Type="http://schemas.openxmlformats.org/officeDocument/2006/relationships/hyperlink" Target="https://www.rics.org/uk/products/data-products/rics-community-infrastructure-levy-index/" TargetMode="External"/><Relationship Id="rId23" Type="http://schemas.openxmlformats.org/officeDocument/2006/relationships/hyperlink" Target="https://www.legislation.gov.uk/ukdsi/2010/9780111492390/contents" TargetMode="External"/><Relationship Id="rId28" Type="http://schemas.openxmlformats.org/officeDocument/2006/relationships/hyperlink" Target="https://www.gov.uk/guidance/appeal-a-community-infrastructure-levy-enforcement-notice" TargetMode="External"/><Relationship Id="rId10" Type="http://schemas.openxmlformats.org/officeDocument/2006/relationships/hyperlink" Target="http://www.birmingham.gov.uk/cil" TargetMode="External"/><Relationship Id="rId19" Type="http://schemas.openxmlformats.org/officeDocument/2006/relationships/hyperlink" Target="https://www.planningportal.co.uk/planning/policy-and-legislation/CIL/download-the-form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rmingham.gov.uk/cil" TargetMode="External"/><Relationship Id="rId14" Type="http://schemas.openxmlformats.org/officeDocument/2006/relationships/hyperlink" Target="https://www.birmingham.gov.uk/downloads/download/307/community_infrastructure_levy" TargetMode="External"/><Relationship Id="rId22" Type="http://schemas.openxmlformats.org/officeDocument/2006/relationships/hyperlink" Target="mailto:hayley.claybrook@birmingham.gov.uk" TargetMode="External"/><Relationship Id="rId27" Type="http://schemas.openxmlformats.org/officeDocument/2006/relationships/hyperlink" Target="https://www.local.gov.uk/pas/topics/developer-contribution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PD\Shared\Section%20106\CIL%20First%20Review%20(BCC)\Draft%20Charging%20Schedule\Draft%20Charging%20Schedulen%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Charging Schedulen 2021</Template>
  <TotalTime>39</TotalTime>
  <Pages>12</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Claybrook</dc:creator>
  <cp:lastModifiedBy>Hayley Claybrook</cp:lastModifiedBy>
  <cp:revision>5</cp:revision>
  <dcterms:created xsi:type="dcterms:W3CDTF">2022-05-24T16:50:00Z</dcterms:created>
  <dcterms:modified xsi:type="dcterms:W3CDTF">2022-06-14T14:15:00Z</dcterms:modified>
</cp:coreProperties>
</file>