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48" w:rsidRDefault="004304EE" w:rsidP="00730287">
      <w:pPr>
        <w:pStyle w:val="Heading2"/>
      </w:pPr>
      <w:r>
        <w:t xml:space="preserve">Full-time funded places </w:t>
      </w:r>
      <w:r w:rsidR="000F62EF">
        <w:t>proposed changes: Report for consultation</w:t>
      </w:r>
    </w:p>
    <w:p w:rsidR="000F62EF" w:rsidRDefault="000F62EF"/>
    <w:p w:rsidR="000F62EF" w:rsidRPr="000F62EF" w:rsidRDefault="000F62EF" w:rsidP="000F62EF">
      <w:pPr>
        <w:pStyle w:val="Heading3"/>
        <w:rPr>
          <w:b/>
          <w:bCs/>
        </w:rPr>
      </w:pPr>
      <w:r w:rsidRPr="000F62EF">
        <w:rPr>
          <w:b/>
          <w:bCs/>
        </w:rPr>
        <w:t>Summary</w:t>
      </w:r>
      <w:r>
        <w:rPr>
          <w:b/>
          <w:bCs/>
        </w:rPr>
        <w:t xml:space="preserve"> and key messages</w:t>
      </w:r>
    </w:p>
    <w:p w:rsidR="000F62EF" w:rsidRDefault="000F62EF">
      <w:r>
        <w:t xml:space="preserve">All children are eligible from the term after they turn three for 15 hours per week free early education </w:t>
      </w:r>
      <w:r w:rsidR="00BB4E6F">
        <w:t xml:space="preserve">entitlement (EEE) </w:t>
      </w:r>
      <w:r>
        <w:t>during term-time, or the equivalent total spread out across every week of the year.  Birmingham council has historically funded a number of additional hours for children who meet specific criteria.  These criteria were changed in summer 2016.  This report looks at the data from the first term following those changes</w:t>
      </w:r>
      <w:r w:rsidR="008F3374">
        <w:t>.</w:t>
      </w:r>
      <w:r>
        <w:t xml:space="preserve">  </w:t>
      </w:r>
      <w:r w:rsidR="008F3374">
        <w:t xml:space="preserve">International evidence suggests that there is no additional benefit for children in attending early </w:t>
      </w:r>
      <w:proofErr w:type="gramStart"/>
      <w:r w:rsidR="008F3374">
        <w:t>years</w:t>
      </w:r>
      <w:proofErr w:type="gramEnd"/>
      <w:r w:rsidR="008F3374">
        <w:t xml:space="preserve"> settings for more than 15 hours per week, though for vulnerable children attending for 15 hours for a longer period – i.e. starting at two years old, can have a positive impact.  In the context of reducing budgets, research evidence and the current low take-up of targeted two year olds places, this report can be used to inform consultation on removing the funding for full-time </w:t>
      </w:r>
      <w:r w:rsidR="00AB4A02">
        <w:t>places</w:t>
      </w:r>
      <w:r w:rsidR="008F3374">
        <w:t xml:space="preserve"> for three and four year olds altogether.  </w:t>
      </w:r>
    </w:p>
    <w:p w:rsidR="000F62EF" w:rsidRDefault="000F62EF"/>
    <w:p w:rsidR="000F62EF" w:rsidRDefault="000F62EF">
      <w:r>
        <w:t>A total of 1,465 children received funding for a full-time place (nearly always 30 hours per we</w:t>
      </w:r>
      <w:r w:rsidR="004D0420">
        <w:t xml:space="preserve">ek) under a range of criteria, some having more than one criterion applied.  </w:t>
      </w:r>
    </w:p>
    <w:p w:rsidR="006C698A" w:rsidRDefault="006C698A"/>
    <w:p w:rsidR="006C698A" w:rsidRDefault="006C698A">
      <w:r>
        <w:t xml:space="preserve">The proportion of children accessing a full-time funded place varies enormously across the city wards and areas of deprivation, meaning that there is no consistency across the city and quite likely a lack of equity for children in similar situations in different areas.  Removing the funding for full-time places will enable consistency and equity across the city.  </w:t>
      </w:r>
    </w:p>
    <w:p w:rsidR="004D0420" w:rsidRDefault="004D0420"/>
    <w:p w:rsidR="009C5FCD" w:rsidRDefault="009C5FCD">
      <w:r>
        <w:t xml:space="preserve">Most children </w:t>
      </w:r>
      <w:r w:rsidR="00BB4E6F">
        <w:t xml:space="preserve">– 80% - </w:t>
      </w:r>
      <w:r>
        <w:t xml:space="preserve">with a full-time funded place were accessing it in a primary </w:t>
      </w:r>
      <w:r w:rsidR="00BB4E6F">
        <w:t xml:space="preserve">or nursery school whereas only 57% of all children accessing </w:t>
      </w:r>
      <w:r w:rsidR="004F7BBB">
        <w:t xml:space="preserve">all </w:t>
      </w:r>
      <w:r w:rsidR="00BB4E6F">
        <w:t xml:space="preserve">EEE </w:t>
      </w:r>
      <w:r w:rsidR="004F7BBB">
        <w:t xml:space="preserve">places </w:t>
      </w:r>
      <w:r w:rsidR="00BB4E6F">
        <w:t>were doing so in schools.  This means that the impact of withdrawing the funding will be greater for those children who access their EEE in the schools.  After the change to the criteria in 2016</w:t>
      </w:r>
      <w:r w:rsidR="00EC718C">
        <w:t>,</w:t>
      </w:r>
      <w:r w:rsidR="00BB4E6F">
        <w:t xml:space="preserve"> schools are now funding more children full-time from their school budgets than before hand – an increase of 34%.  It is possible that some schools will continue to do this, or even to extend it if the council removes all funding, but it is not possible to predict this, especially since schools’ funding changes mean many may have smaller budgets. </w:t>
      </w:r>
    </w:p>
    <w:p w:rsidR="00BB4E6F" w:rsidRDefault="00BB4E6F"/>
    <w:p w:rsidR="00BB4E6F" w:rsidRDefault="00BB4E6F">
      <w:r>
        <w:t>There are currently 12 criteria under which the council funds full-time places, and t</w:t>
      </w:r>
      <w:r w:rsidR="00DB3C21">
        <w:t>hese have been grouped into five</w:t>
      </w:r>
      <w:r>
        <w:t xml:space="preserve"> broad categ</w:t>
      </w:r>
      <w:bookmarkStart w:id="0" w:name="_GoBack"/>
      <w:bookmarkEnd w:id="0"/>
      <w:r>
        <w:t xml:space="preserve">ories for this report. </w:t>
      </w:r>
    </w:p>
    <w:p w:rsidR="00BB4E6F" w:rsidRDefault="00BB4E6F"/>
    <w:p w:rsidR="00BB4E6F" w:rsidRDefault="00BB4E6F" w:rsidP="006C698A">
      <w:pPr>
        <w:pStyle w:val="Heading3"/>
      </w:pPr>
      <w:r w:rsidRPr="008F3374">
        <w:rPr>
          <w:b/>
          <w:bCs/>
        </w:rPr>
        <w:t>Children in first</w:t>
      </w:r>
      <w:r w:rsidR="006C698A">
        <w:rPr>
          <w:b/>
          <w:bCs/>
        </w:rPr>
        <w:t xml:space="preserve"> stages of language development:  </w:t>
      </w:r>
      <w:r w:rsidR="006C698A">
        <w:t xml:space="preserve">Children in this group are mostly </w:t>
      </w:r>
      <w:r w:rsidR="004F7BBB">
        <w:t>(9</w:t>
      </w:r>
      <w:r>
        <w:t>0%) in the schools sector</w:t>
      </w:r>
      <w:r w:rsidR="006C698A">
        <w:t xml:space="preserve"> and removing funding </w:t>
      </w:r>
      <w:r w:rsidR="00846E10">
        <w:t xml:space="preserve">would affect approximately 500 </w:t>
      </w:r>
      <w:r w:rsidR="00AB4A02">
        <w:t>children</w:t>
      </w:r>
      <w:r w:rsidR="00846E10">
        <w:t xml:space="preserve">. </w:t>
      </w:r>
      <w:r w:rsidR="00B01BF7">
        <w:t xml:space="preserve"> </w:t>
      </w:r>
    </w:p>
    <w:p w:rsidR="004F7BBB" w:rsidRDefault="004F7BBB" w:rsidP="00BB4E6F"/>
    <w:p w:rsidR="004F7BBB" w:rsidRDefault="009A0E5D" w:rsidP="006C698A">
      <w:pPr>
        <w:pStyle w:val="Heading3"/>
      </w:pPr>
      <w:r w:rsidRPr="008F3374">
        <w:rPr>
          <w:b/>
          <w:bCs/>
        </w:rPr>
        <w:t>Children with dis</w:t>
      </w:r>
      <w:r w:rsidR="004D0420" w:rsidRPr="008F3374">
        <w:rPr>
          <w:b/>
          <w:bCs/>
        </w:rPr>
        <w:t>abilities</w:t>
      </w:r>
      <w:r w:rsidR="006C698A">
        <w:rPr>
          <w:b/>
          <w:bCs/>
        </w:rPr>
        <w:t xml:space="preserve">:  </w:t>
      </w:r>
      <w:r w:rsidR="00846E10">
        <w:t xml:space="preserve">Around 300 children accessed a full time place on the basis of their disability. </w:t>
      </w:r>
    </w:p>
    <w:p w:rsidR="00846E10" w:rsidRDefault="00846E10"/>
    <w:p w:rsidR="004F7BBB" w:rsidRDefault="009A0E5D" w:rsidP="006C698A">
      <w:pPr>
        <w:pStyle w:val="Heading3"/>
        <w:rPr>
          <w:lang w:eastAsia="en-GB"/>
        </w:rPr>
      </w:pPr>
      <w:r w:rsidRPr="004F7BBB">
        <w:rPr>
          <w:b/>
          <w:bCs/>
        </w:rPr>
        <w:t>Children where</w:t>
      </w:r>
      <w:r w:rsidR="004D0420" w:rsidRPr="004F7BBB">
        <w:rPr>
          <w:b/>
          <w:bCs/>
        </w:rPr>
        <w:t xml:space="preserve"> there are safeguarding issues</w:t>
      </w:r>
      <w:r w:rsidR="006C698A">
        <w:rPr>
          <w:b/>
          <w:bCs/>
        </w:rPr>
        <w:t xml:space="preserve">:  </w:t>
      </w:r>
      <w:r w:rsidR="00B01BF7">
        <w:t xml:space="preserve">Children with safeguarding issues are often the city’s most vulnerable children and removing full-time places could be significant.  </w:t>
      </w:r>
      <w:r w:rsidR="004F7BBB">
        <w:t xml:space="preserve">Whilst </w:t>
      </w:r>
      <w:r w:rsidR="00EC718C">
        <w:rPr>
          <w:lang w:eastAsia="en-GB"/>
        </w:rPr>
        <w:t>305</w:t>
      </w:r>
      <w:r w:rsidR="004F7BBB">
        <w:rPr>
          <w:lang w:eastAsia="en-GB"/>
        </w:rPr>
        <w:t xml:space="preserve"> children were funded under these</w:t>
      </w:r>
      <w:r w:rsidR="00EC718C">
        <w:rPr>
          <w:lang w:eastAsia="en-GB"/>
        </w:rPr>
        <w:t xml:space="preserve"> criteria, not all of them – 211</w:t>
      </w:r>
      <w:r w:rsidR="004F7BBB">
        <w:rPr>
          <w:lang w:eastAsia="en-GB"/>
        </w:rPr>
        <w:t xml:space="preserve"> – were on a plan for vulnerable children of one kind or another: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617"/>
      </w:tblGrid>
      <w:tr w:rsidR="004F7BBB" w:rsidRPr="004F7BBB" w:rsidTr="004F7BBB">
        <w:trPr>
          <w:cnfStyle w:val="100000000000" w:firstRow="1" w:lastRow="0" w:firstColumn="0" w:lastColumn="0" w:oddVBand="0" w:evenVBand="0" w:oddHBand="0" w:evenHBand="0" w:firstRowFirstColumn="0" w:firstRowLastColumn="0" w:lastRowFirstColumn="0" w:lastRowLastColumn="0"/>
        </w:trPr>
        <w:tc>
          <w:tcPr>
            <w:tcW w:w="5467" w:type="dxa"/>
          </w:tcPr>
          <w:p w:rsidR="004F7BBB" w:rsidRPr="004F7BBB" w:rsidRDefault="004F7BBB" w:rsidP="004F7BBB">
            <w:pPr>
              <w:jc w:val="left"/>
              <w:rPr>
                <w:b w:val="0"/>
                <w:lang w:eastAsia="en-GB"/>
              </w:rPr>
            </w:pPr>
            <w:r w:rsidRPr="004F7BBB">
              <w:rPr>
                <w:b w:val="0"/>
                <w:lang w:eastAsia="en-GB"/>
              </w:rPr>
              <w:t>Child protection plan or child in need plan</w:t>
            </w:r>
          </w:p>
        </w:tc>
        <w:tc>
          <w:tcPr>
            <w:tcW w:w="617" w:type="dxa"/>
          </w:tcPr>
          <w:p w:rsidR="004F7BBB" w:rsidRPr="004F7BBB" w:rsidRDefault="00EC718C" w:rsidP="00B01BF7">
            <w:pPr>
              <w:jc w:val="right"/>
              <w:rPr>
                <w:b w:val="0"/>
                <w:lang w:eastAsia="en-GB"/>
              </w:rPr>
            </w:pPr>
            <w:r>
              <w:rPr>
                <w:b w:val="0"/>
                <w:lang w:eastAsia="en-GB"/>
              </w:rPr>
              <w:t>65</w:t>
            </w:r>
          </w:p>
        </w:tc>
      </w:tr>
      <w:tr w:rsidR="004F7BBB" w:rsidRPr="004F7BBB" w:rsidTr="004F7BBB">
        <w:tc>
          <w:tcPr>
            <w:tcW w:w="5467" w:type="dxa"/>
          </w:tcPr>
          <w:p w:rsidR="004F7BBB" w:rsidRPr="004F7BBB" w:rsidRDefault="004F7BBB" w:rsidP="00C12249">
            <w:pPr>
              <w:jc w:val="left"/>
              <w:rPr>
                <w:lang w:eastAsia="en-GB"/>
              </w:rPr>
            </w:pPr>
            <w:r w:rsidRPr="004F7BBB">
              <w:rPr>
                <w:lang w:eastAsia="en-GB"/>
              </w:rPr>
              <w:t xml:space="preserve">Looked after child plan </w:t>
            </w:r>
          </w:p>
        </w:tc>
        <w:tc>
          <w:tcPr>
            <w:tcW w:w="617" w:type="dxa"/>
          </w:tcPr>
          <w:p w:rsidR="004F7BBB" w:rsidRPr="004F7BBB" w:rsidRDefault="00C12249" w:rsidP="00B01BF7">
            <w:pPr>
              <w:jc w:val="right"/>
              <w:rPr>
                <w:lang w:eastAsia="en-GB"/>
              </w:rPr>
            </w:pPr>
            <w:r>
              <w:rPr>
                <w:lang w:eastAsia="en-GB"/>
              </w:rPr>
              <w:t>39</w:t>
            </w:r>
          </w:p>
        </w:tc>
      </w:tr>
      <w:tr w:rsidR="004F7BBB" w:rsidRPr="004F7BBB" w:rsidTr="004F7BBB">
        <w:tc>
          <w:tcPr>
            <w:tcW w:w="5467" w:type="dxa"/>
          </w:tcPr>
          <w:p w:rsidR="004F7BBB" w:rsidRPr="004F7BBB" w:rsidRDefault="004F7BBB" w:rsidP="004F7BBB">
            <w:pPr>
              <w:jc w:val="left"/>
              <w:rPr>
                <w:lang w:eastAsia="en-GB"/>
              </w:rPr>
            </w:pPr>
            <w:r w:rsidRPr="004F7BBB">
              <w:rPr>
                <w:lang w:eastAsia="en-GB"/>
              </w:rPr>
              <w:t>Family support plan through early help/fCAF</w:t>
            </w:r>
          </w:p>
        </w:tc>
        <w:tc>
          <w:tcPr>
            <w:tcW w:w="617" w:type="dxa"/>
          </w:tcPr>
          <w:p w:rsidR="004F7BBB" w:rsidRPr="004F7BBB" w:rsidRDefault="004F7BBB" w:rsidP="00B01BF7">
            <w:pPr>
              <w:jc w:val="right"/>
              <w:rPr>
                <w:lang w:eastAsia="en-GB"/>
              </w:rPr>
            </w:pPr>
            <w:r w:rsidRPr="004F7BBB">
              <w:rPr>
                <w:lang w:eastAsia="en-GB"/>
              </w:rPr>
              <w:t>107</w:t>
            </w:r>
          </w:p>
        </w:tc>
      </w:tr>
    </w:tbl>
    <w:p w:rsidR="00B01BF7" w:rsidRDefault="00B01BF7" w:rsidP="004F7BBB">
      <w:pPr>
        <w:rPr>
          <w:lang w:eastAsia="en-GB"/>
        </w:rPr>
      </w:pPr>
    </w:p>
    <w:p w:rsidR="004D0420" w:rsidRDefault="004D0420" w:rsidP="008F3374">
      <w:pPr>
        <w:pStyle w:val="Heading3"/>
        <w:rPr>
          <w:b/>
          <w:bCs/>
        </w:rPr>
      </w:pPr>
      <w:r w:rsidRPr="008F3374">
        <w:rPr>
          <w:b/>
          <w:bCs/>
        </w:rPr>
        <w:lastRenderedPageBreak/>
        <w:t xml:space="preserve">Children already receiving </w:t>
      </w:r>
      <w:r w:rsidR="00846E10">
        <w:rPr>
          <w:b/>
          <w:bCs/>
        </w:rPr>
        <w:t xml:space="preserve">a </w:t>
      </w:r>
      <w:r w:rsidRPr="008F3374">
        <w:rPr>
          <w:b/>
          <w:bCs/>
        </w:rPr>
        <w:t>full-time place</w:t>
      </w:r>
    </w:p>
    <w:p w:rsidR="000650BD" w:rsidRDefault="006C698A">
      <w:pPr>
        <w:rPr>
          <w:lang w:eastAsia="en-GB"/>
        </w:rPr>
      </w:pPr>
      <w:r>
        <w:rPr>
          <w:lang w:eastAsia="en-GB"/>
        </w:rPr>
        <w:t>If settings continued to provide funded full-time places at the same proportions of those funded in the autumn term, 880 children could be in a funded full-time place at the end of the summer term 2017 and not be old enough to move into reception classes.  If the funding for full-time places then ceases, these children would have their places reduced to part-time places in the autumn term.</w:t>
      </w:r>
    </w:p>
    <w:p w:rsidR="000650BD" w:rsidRDefault="000650BD">
      <w:pPr>
        <w:rPr>
          <w:lang w:eastAsia="en-GB"/>
        </w:rPr>
      </w:pPr>
    </w:p>
    <w:p w:rsidR="000650BD" w:rsidRPr="00373E9F" w:rsidRDefault="000650BD" w:rsidP="000650BD">
      <w:pPr>
        <w:pStyle w:val="Heading3"/>
        <w:rPr>
          <w:b/>
          <w:bCs/>
          <w:lang w:eastAsia="en-GB"/>
        </w:rPr>
      </w:pPr>
      <w:r w:rsidRPr="00373E9F">
        <w:rPr>
          <w:b/>
          <w:bCs/>
          <w:lang w:eastAsia="en-GB"/>
        </w:rPr>
        <w:t>Parental vulnerabilities</w:t>
      </w:r>
    </w:p>
    <w:p w:rsidR="000650BD" w:rsidRDefault="00EC718C" w:rsidP="000650BD">
      <w:pPr>
        <w:rPr>
          <w:lang w:eastAsia="en-GB"/>
        </w:rPr>
      </w:pPr>
      <w:r>
        <w:rPr>
          <w:lang w:eastAsia="en-GB"/>
        </w:rPr>
        <w:t>A total of 221</w:t>
      </w:r>
      <w:r w:rsidR="000650BD">
        <w:rPr>
          <w:lang w:eastAsia="en-GB"/>
        </w:rPr>
        <w:t xml:space="preserve"> children were funded for full-time places based on the additional vulnerabilities they face as a result of their parents’ situations.  132 had parents with disabilities or illnesse</w:t>
      </w:r>
      <w:r>
        <w:rPr>
          <w:lang w:eastAsia="en-GB"/>
        </w:rPr>
        <w:t>s, 19 had a parent in prison, 46</w:t>
      </w:r>
      <w:r w:rsidR="000650BD">
        <w:rPr>
          <w:lang w:eastAsia="en-GB"/>
        </w:rPr>
        <w:t xml:space="preserve"> lived in families experiencing domestic violence or drug/alcohol abuse and 24 lived in families with no recourse to public funds.  </w:t>
      </w:r>
    </w:p>
    <w:p w:rsidR="000650BD" w:rsidRDefault="000650BD">
      <w:pPr>
        <w:rPr>
          <w:lang w:eastAsia="en-GB"/>
        </w:rPr>
      </w:pPr>
    </w:p>
    <w:p w:rsidR="000F62EF" w:rsidRDefault="000F62EF">
      <w:r>
        <w:br w:type="page"/>
      </w:r>
    </w:p>
    <w:p w:rsidR="00730287" w:rsidRDefault="000F62EF" w:rsidP="000F62EF">
      <w:pPr>
        <w:pStyle w:val="Heading2"/>
      </w:pPr>
      <w:r>
        <w:lastRenderedPageBreak/>
        <w:t>Data report</w:t>
      </w:r>
    </w:p>
    <w:p w:rsidR="00942A0C" w:rsidRPr="00942A0C" w:rsidRDefault="00942A0C" w:rsidP="00942A0C">
      <w:pPr>
        <w:pStyle w:val="Heading3"/>
        <w:rPr>
          <w:b/>
          <w:bCs/>
        </w:rPr>
      </w:pPr>
      <w:r w:rsidRPr="00942A0C">
        <w:rPr>
          <w:b/>
          <w:bCs/>
        </w:rPr>
        <w:t>Introduction</w:t>
      </w:r>
    </w:p>
    <w:p w:rsidR="00730287" w:rsidRDefault="00893460" w:rsidP="00730287">
      <w:r>
        <w:t xml:space="preserve">This report </w:t>
      </w:r>
      <w:r w:rsidR="004304EE">
        <w:t xml:space="preserve">examines the </w:t>
      </w:r>
      <w:r>
        <w:t xml:space="preserve">children in Birmingham who </w:t>
      </w:r>
      <w:r w:rsidR="004304EE">
        <w:t xml:space="preserve">were funded by the council for </w:t>
      </w:r>
      <w:r>
        <w:t xml:space="preserve">a full-time </w:t>
      </w:r>
      <w:r w:rsidR="004130E3">
        <w:t xml:space="preserve">Early Education Entitlement (EEE) </w:t>
      </w:r>
      <w:r>
        <w:t xml:space="preserve">place in </w:t>
      </w:r>
      <w:proofErr w:type="gramStart"/>
      <w:r w:rsidR="004555C9">
        <w:t>Autumn</w:t>
      </w:r>
      <w:proofErr w:type="gramEnd"/>
      <w:r w:rsidR="004555C9">
        <w:t xml:space="preserve"> term 2016 - </w:t>
      </w:r>
      <w:r w:rsidR="004304EE">
        <w:t>the most recent term for which the data is available</w:t>
      </w:r>
      <w:r w:rsidR="004555C9">
        <w:t>.  A full-time place is usually 30 hours per week but in a very small number of cases it is between 15 hours (the nationally funded rate) and 30 hours</w:t>
      </w:r>
      <w:r>
        <w:t xml:space="preserve">. </w:t>
      </w:r>
    </w:p>
    <w:p w:rsidR="00AF076F" w:rsidRDefault="00AF076F" w:rsidP="00730287"/>
    <w:p w:rsidR="00311382" w:rsidRDefault="004304EE" w:rsidP="00311382">
      <w:r>
        <w:t>T</w:t>
      </w:r>
      <w:r w:rsidR="00311382">
        <w:t xml:space="preserve">he council </w:t>
      </w:r>
      <w:r>
        <w:t xml:space="preserve">revised the </w:t>
      </w:r>
      <w:r w:rsidR="00311382">
        <w:t xml:space="preserve">criteria for funding full-time places </w:t>
      </w:r>
      <w:r>
        <w:t xml:space="preserve">during 2016, in consultation with providers and parents.  The criteria only apply to </w:t>
      </w:r>
      <w:r w:rsidR="00311382">
        <w:t>three and four year olds</w:t>
      </w:r>
      <w:r w:rsidR="00DB0BC6">
        <w:t xml:space="preserve">, </w:t>
      </w:r>
      <w:r>
        <w:t xml:space="preserve">though </w:t>
      </w:r>
      <w:r w:rsidR="00311382">
        <w:t>the</w:t>
      </w:r>
      <w:r>
        <w:t xml:space="preserve"> data shows that there were </w:t>
      </w:r>
      <w:r w:rsidR="00311382">
        <w:t>small numbers of two year olds funded</w:t>
      </w:r>
      <w:r>
        <w:t xml:space="preserve">; </w:t>
      </w:r>
      <w:r w:rsidR="00311382">
        <w:t xml:space="preserve">these have been excluded from the analysis.  </w:t>
      </w:r>
    </w:p>
    <w:p w:rsidR="004304EE" w:rsidRDefault="004304EE" w:rsidP="00311382"/>
    <w:p w:rsidR="00942A0C" w:rsidRPr="00942A0C" w:rsidRDefault="00942A0C" w:rsidP="00942A0C">
      <w:pPr>
        <w:pStyle w:val="Heading3"/>
        <w:rPr>
          <w:b/>
          <w:bCs/>
        </w:rPr>
      </w:pPr>
      <w:r w:rsidRPr="00942A0C">
        <w:rPr>
          <w:b/>
          <w:bCs/>
        </w:rPr>
        <w:t>Full-time places and types of setting</w:t>
      </w:r>
    </w:p>
    <w:p w:rsidR="00311382" w:rsidRDefault="00890CA2" w:rsidP="00311382">
      <w:r>
        <w:t>In autumn term 201</w:t>
      </w:r>
      <w:r w:rsidR="004304EE">
        <w:t>6</w:t>
      </w:r>
      <w:r w:rsidR="00AB6B8A">
        <w:t xml:space="preserve"> 1,4</w:t>
      </w:r>
      <w:r w:rsidR="00246F71">
        <w:t>65</w:t>
      </w:r>
      <w:r w:rsidR="00136F92">
        <w:t xml:space="preserve"> children (9</w:t>
      </w:r>
      <w:r w:rsidR="00AB6B8A">
        <w:t>.4</w:t>
      </w:r>
      <w:r w:rsidR="009B570D">
        <w:t xml:space="preserve">% </w:t>
      </w:r>
      <w:r>
        <w:t>of all funded places</w:t>
      </w:r>
      <w:r w:rsidR="00495360">
        <w:t>, or 8.3% of all eligible children</w:t>
      </w:r>
      <w:r w:rsidR="009B570D">
        <w:t>)</w:t>
      </w:r>
      <w:r>
        <w:t xml:space="preserve"> were funded </w:t>
      </w:r>
      <w:r w:rsidR="00136F92">
        <w:t>full-time</w:t>
      </w:r>
      <w:r w:rsidRPr="00EB3A73">
        <w:t>, a</w:t>
      </w:r>
      <w:r w:rsidR="009B570D" w:rsidRPr="00EB3A73">
        <w:t xml:space="preserve"> de</w:t>
      </w:r>
      <w:r w:rsidRPr="00EB3A73">
        <w:t>crease from 1</w:t>
      </w:r>
      <w:r w:rsidR="00C438D6">
        <w:t>4.9</w:t>
      </w:r>
      <w:r w:rsidR="00136F92">
        <w:t>%</w:t>
      </w:r>
      <w:r w:rsidRPr="00EB3A73">
        <w:t xml:space="preserve"> in the </w:t>
      </w:r>
      <w:r w:rsidR="009B570D" w:rsidRPr="00EB3A73">
        <w:t>summer term</w:t>
      </w:r>
      <w:r w:rsidR="00EB3A73" w:rsidRPr="00EB3A73">
        <w:t>, before the criteria changed</w:t>
      </w:r>
      <w:r w:rsidRPr="00EB3A73">
        <w:t xml:space="preserve">.  </w:t>
      </w:r>
      <w:r w:rsidR="00136F92">
        <w:t>The majority (79</w:t>
      </w:r>
      <w:r w:rsidR="00246F71">
        <w:t>.6</w:t>
      </w:r>
      <w:r w:rsidR="00D21819" w:rsidRPr="00EB3A73">
        <w:t xml:space="preserve">%) of those funded </w:t>
      </w:r>
      <w:r w:rsidR="00136F92">
        <w:t>full-time</w:t>
      </w:r>
      <w:r w:rsidR="00D21819" w:rsidRPr="00EB3A73">
        <w:t xml:space="preserve"> take up their place in a maintained setting</w:t>
      </w:r>
      <w:r w:rsidR="00515996" w:rsidRPr="00EB3A73">
        <w:t xml:space="preserve"> – a nursery</w:t>
      </w:r>
      <w:r w:rsidR="00515996">
        <w:t xml:space="preserve"> school or class</w:t>
      </w:r>
      <w:r w:rsidR="00DD7F42">
        <w:t>.  This picture differs substantially from part-time places</w:t>
      </w:r>
      <w:r w:rsidR="000C0329">
        <w:t xml:space="preserve">, as shown below. </w:t>
      </w:r>
    </w:p>
    <w:p w:rsidR="00D21819" w:rsidRDefault="00D21819" w:rsidP="00311382"/>
    <w:tbl>
      <w:tblPr>
        <w:tblW w:w="9193" w:type="dxa"/>
        <w:tblInd w:w="93" w:type="dxa"/>
        <w:tblLayout w:type="fixed"/>
        <w:tblLook w:val="04A0" w:firstRow="1" w:lastRow="0" w:firstColumn="1" w:lastColumn="0" w:noHBand="0" w:noVBand="1"/>
      </w:tblPr>
      <w:tblGrid>
        <w:gridCol w:w="1984"/>
        <w:gridCol w:w="1201"/>
        <w:gridCol w:w="1202"/>
        <w:gridCol w:w="1201"/>
        <w:gridCol w:w="1202"/>
        <w:gridCol w:w="1201"/>
        <w:gridCol w:w="1202"/>
      </w:tblGrid>
      <w:tr w:rsidR="00136F92" w:rsidRPr="00136F92" w:rsidTr="00136F92">
        <w:trPr>
          <w:trHeight w:val="510"/>
        </w:trPr>
        <w:tc>
          <w:tcPr>
            <w:tcW w:w="1984" w:type="dxa"/>
            <w:tcBorders>
              <w:top w:val="single" w:sz="8" w:space="0" w:color="auto"/>
              <w:left w:val="single" w:sz="8" w:space="0" w:color="auto"/>
              <w:bottom w:val="nil"/>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Provider Type</w:t>
            </w:r>
          </w:p>
        </w:tc>
        <w:tc>
          <w:tcPr>
            <w:tcW w:w="1201" w:type="dxa"/>
            <w:tcBorders>
              <w:top w:val="single" w:sz="8" w:space="0" w:color="auto"/>
              <w:left w:val="nil"/>
              <w:bottom w:val="nil"/>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Number of children</w:t>
            </w:r>
          </w:p>
        </w:tc>
        <w:tc>
          <w:tcPr>
            <w:tcW w:w="1202" w:type="dxa"/>
            <w:vMerge w:val="restart"/>
            <w:tcBorders>
              <w:top w:val="single" w:sz="8" w:space="0" w:color="auto"/>
              <w:left w:val="single" w:sz="8" w:space="0" w:color="auto"/>
              <w:bottom w:val="single" w:sz="8" w:space="0" w:color="000000"/>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 of all FT children</w:t>
            </w:r>
          </w:p>
        </w:tc>
        <w:tc>
          <w:tcPr>
            <w:tcW w:w="1201" w:type="dxa"/>
            <w:tcBorders>
              <w:top w:val="single" w:sz="8" w:space="0" w:color="auto"/>
              <w:left w:val="nil"/>
              <w:bottom w:val="nil"/>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Number of children</w:t>
            </w:r>
          </w:p>
        </w:tc>
        <w:tc>
          <w:tcPr>
            <w:tcW w:w="1202" w:type="dxa"/>
            <w:vMerge w:val="restart"/>
            <w:tcBorders>
              <w:top w:val="single" w:sz="8" w:space="0" w:color="auto"/>
              <w:left w:val="single" w:sz="8" w:space="0" w:color="auto"/>
              <w:bottom w:val="single" w:sz="8" w:space="0" w:color="000000"/>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 of all PT children</w:t>
            </w:r>
          </w:p>
        </w:tc>
        <w:tc>
          <w:tcPr>
            <w:tcW w:w="12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 xml:space="preserve">All </w:t>
            </w:r>
            <w:r w:rsidR="0097009B">
              <w:rPr>
                <w:rFonts w:eastAsia="Times New Roman" w:cs="Arial"/>
                <w:color w:val="000000"/>
                <w:sz w:val="20"/>
                <w:szCs w:val="20"/>
                <w:lang w:eastAsia="en-GB"/>
              </w:rPr>
              <w:t xml:space="preserve">EEE </w:t>
            </w:r>
            <w:r w:rsidRPr="00136F92">
              <w:rPr>
                <w:rFonts w:eastAsia="Times New Roman" w:cs="Arial"/>
                <w:color w:val="000000"/>
                <w:sz w:val="20"/>
                <w:szCs w:val="20"/>
                <w:lang w:eastAsia="en-GB"/>
              </w:rPr>
              <w:t>children</w:t>
            </w:r>
          </w:p>
        </w:tc>
        <w:tc>
          <w:tcPr>
            <w:tcW w:w="120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 of all children</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Autumn Term 2016</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97009B" w:rsidP="00136F92">
            <w:pPr>
              <w:jc w:val="center"/>
              <w:rPr>
                <w:rFonts w:eastAsia="Times New Roman" w:cs="Arial"/>
                <w:color w:val="000000"/>
                <w:sz w:val="20"/>
                <w:szCs w:val="20"/>
                <w:lang w:eastAsia="en-GB"/>
              </w:rPr>
            </w:pPr>
            <w:r>
              <w:rPr>
                <w:rFonts w:eastAsia="Times New Roman" w:cs="Arial"/>
                <w:color w:val="000000"/>
                <w:sz w:val="20"/>
                <w:szCs w:val="20"/>
                <w:lang w:eastAsia="en-GB"/>
              </w:rPr>
              <w:t xml:space="preserve">Funded </w:t>
            </w:r>
            <w:r w:rsidR="00136F92" w:rsidRPr="00136F92">
              <w:rPr>
                <w:rFonts w:eastAsia="Times New Roman" w:cs="Arial"/>
                <w:color w:val="000000"/>
                <w:sz w:val="20"/>
                <w:szCs w:val="20"/>
                <w:lang w:eastAsia="en-GB"/>
              </w:rPr>
              <w:t>FT</w:t>
            </w:r>
          </w:p>
        </w:tc>
        <w:tc>
          <w:tcPr>
            <w:tcW w:w="1202" w:type="dxa"/>
            <w:vMerge/>
            <w:tcBorders>
              <w:top w:val="single" w:sz="8" w:space="0" w:color="auto"/>
              <w:left w:val="single" w:sz="8" w:space="0" w:color="auto"/>
              <w:bottom w:val="single" w:sz="8" w:space="0" w:color="000000"/>
              <w:right w:val="single" w:sz="8" w:space="0" w:color="auto"/>
            </w:tcBorders>
            <w:vAlign w:val="center"/>
            <w:hideMark/>
          </w:tcPr>
          <w:p w:rsidR="00136F92" w:rsidRPr="00136F92" w:rsidRDefault="00136F92" w:rsidP="00136F92">
            <w:pPr>
              <w:rPr>
                <w:rFonts w:eastAsia="Times New Roman" w:cs="Arial"/>
                <w:color w:val="000000"/>
                <w:sz w:val="20"/>
                <w:szCs w:val="20"/>
                <w:lang w:eastAsia="en-GB"/>
              </w:rPr>
            </w:pP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97009B" w:rsidP="00136F92">
            <w:pPr>
              <w:jc w:val="center"/>
              <w:rPr>
                <w:rFonts w:eastAsia="Times New Roman" w:cs="Arial"/>
                <w:color w:val="000000"/>
                <w:sz w:val="20"/>
                <w:szCs w:val="20"/>
                <w:lang w:eastAsia="en-GB"/>
              </w:rPr>
            </w:pPr>
            <w:r>
              <w:rPr>
                <w:rFonts w:eastAsia="Times New Roman" w:cs="Arial"/>
                <w:color w:val="000000"/>
                <w:sz w:val="20"/>
                <w:szCs w:val="20"/>
                <w:lang w:eastAsia="en-GB"/>
              </w:rPr>
              <w:t xml:space="preserve">Funded </w:t>
            </w:r>
            <w:r w:rsidR="00136F92" w:rsidRPr="00136F92">
              <w:rPr>
                <w:rFonts w:eastAsia="Times New Roman" w:cs="Arial"/>
                <w:color w:val="000000"/>
                <w:sz w:val="20"/>
                <w:szCs w:val="20"/>
                <w:lang w:eastAsia="en-GB"/>
              </w:rPr>
              <w:t>PT</w:t>
            </w:r>
          </w:p>
        </w:tc>
        <w:tc>
          <w:tcPr>
            <w:tcW w:w="1202" w:type="dxa"/>
            <w:vMerge/>
            <w:tcBorders>
              <w:top w:val="single" w:sz="8" w:space="0" w:color="auto"/>
              <w:left w:val="single" w:sz="8" w:space="0" w:color="auto"/>
              <w:bottom w:val="single" w:sz="8" w:space="0" w:color="000000"/>
              <w:right w:val="single" w:sz="8" w:space="0" w:color="auto"/>
            </w:tcBorders>
            <w:vAlign w:val="center"/>
            <w:hideMark/>
          </w:tcPr>
          <w:p w:rsidR="00136F92" w:rsidRPr="00136F92" w:rsidRDefault="00136F92" w:rsidP="00136F92">
            <w:pPr>
              <w:rPr>
                <w:rFonts w:eastAsia="Times New Roman" w:cs="Arial"/>
                <w:color w:val="000000"/>
                <w:sz w:val="20"/>
                <w:szCs w:val="20"/>
                <w:lang w:eastAsia="en-GB"/>
              </w:rPr>
            </w:pPr>
          </w:p>
        </w:tc>
        <w:tc>
          <w:tcPr>
            <w:tcW w:w="1201" w:type="dxa"/>
            <w:vMerge/>
            <w:tcBorders>
              <w:top w:val="single" w:sz="8" w:space="0" w:color="auto"/>
              <w:left w:val="single" w:sz="8" w:space="0" w:color="auto"/>
              <w:bottom w:val="single" w:sz="8" w:space="0" w:color="000000"/>
              <w:right w:val="single" w:sz="8" w:space="0" w:color="auto"/>
            </w:tcBorders>
            <w:vAlign w:val="center"/>
            <w:hideMark/>
          </w:tcPr>
          <w:p w:rsidR="00136F92" w:rsidRPr="00136F92" w:rsidRDefault="00136F92" w:rsidP="00136F92">
            <w:pPr>
              <w:rPr>
                <w:rFonts w:eastAsia="Times New Roman" w:cs="Arial"/>
                <w:color w:val="000000"/>
                <w:sz w:val="20"/>
                <w:szCs w:val="20"/>
                <w:lang w:eastAsia="en-GB"/>
              </w:rPr>
            </w:pPr>
          </w:p>
        </w:tc>
        <w:tc>
          <w:tcPr>
            <w:tcW w:w="1202" w:type="dxa"/>
            <w:vMerge/>
            <w:tcBorders>
              <w:top w:val="single" w:sz="8" w:space="0" w:color="auto"/>
              <w:left w:val="single" w:sz="8" w:space="0" w:color="auto"/>
              <w:bottom w:val="single" w:sz="8" w:space="0" w:color="000000"/>
              <w:right w:val="single" w:sz="8" w:space="0" w:color="auto"/>
            </w:tcBorders>
            <w:vAlign w:val="center"/>
            <w:hideMark/>
          </w:tcPr>
          <w:p w:rsidR="00136F92" w:rsidRPr="00136F92" w:rsidRDefault="00136F92" w:rsidP="00136F92">
            <w:pPr>
              <w:rPr>
                <w:rFonts w:eastAsia="Times New Roman" w:cs="Arial"/>
                <w:color w:val="000000"/>
                <w:sz w:val="20"/>
                <w:szCs w:val="20"/>
                <w:lang w:eastAsia="en-GB"/>
              </w:rPr>
            </w:pP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Childminder</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0.07%</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108</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0.73%</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109</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0.67%</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 xml:space="preserve">Day Nursery/pre-school playgroup/independent </w:t>
            </w:r>
            <w:r w:rsidR="004013D7" w:rsidRPr="00136F92">
              <w:rPr>
                <w:rFonts w:eastAsia="Times New Roman" w:cs="Arial"/>
                <w:color w:val="000000"/>
                <w:sz w:val="20"/>
                <w:szCs w:val="20"/>
                <w:lang w:eastAsia="en-GB"/>
              </w:rPr>
              <w:t>school</w:t>
            </w:r>
            <w:r w:rsidRPr="00136F92">
              <w:rPr>
                <w:rFonts w:eastAsia="Times New Roman" w:cs="Arial"/>
                <w:color w:val="000000"/>
                <w:sz w:val="20"/>
                <w:szCs w:val="20"/>
                <w:lang w:eastAsia="en-GB"/>
              </w:rPr>
              <w:t xml:space="preserve"> nursery</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298</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20.34%</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6653</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44.82%</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6951</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42.62%</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Nursery Class</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592</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40.41%</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6606</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44.50%</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7198</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44.14%</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Nursery School</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544</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37.13%</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1477</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9.95%</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2021</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12.39%</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Special school</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30</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2.05%</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0.00%</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30</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0.18%</w:t>
            </w:r>
          </w:p>
        </w:tc>
      </w:tr>
      <w:tr w:rsidR="00136F92" w:rsidRPr="00136F92" w:rsidTr="00136F92">
        <w:trPr>
          <w:trHeight w:val="315"/>
        </w:trPr>
        <w:tc>
          <w:tcPr>
            <w:tcW w:w="1984" w:type="dxa"/>
            <w:tcBorders>
              <w:top w:val="nil"/>
              <w:left w:val="single" w:sz="8" w:space="0" w:color="auto"/>
              <w:bottom w:val="single" w:sz="8" w:space="0" w:color="auto"/>
              <w:right w:val="single" w:sz="8" w:space="0" w:color="auto"/>
            </w:tcBorders>
            <w:shd w:val="clear" w:color="auto" w:fill="auto"/>
            <w:noWrap/>
            <w:vAlign w:val="center"/>
            <w:hideMark/>
          </w:tcPr>
          <w:p w:rsidR="00136F92" w:rsidRPr="00136F92" w:rsidRDefault="00136F92" w:rsidP="00136F92">
            <w:pPr>
              <w:rPr>
                <w:rFonts w:eastAsia="Times New Roman" w:cs="Arial"/>
                <w:color w:val="000000"/>
                <w:sz w:val="20"/>
                <w:szCs w:val="20"/>
                <w:lang w:eastAsia="en-GB"/>
              </w:rPr>
            </w:pPr>
            <w:r w:rsidRPr="00136F92">
              <w:rPr>
                <w:rFonts w:eastAsia="Times New Roman" w:cs="Arial"/>
                <w:color w:val="000000"/>
                <w:sz w:val="20"/>
                <w:szCs w:val="20"/>
                <w:lang w:eastAsia="en-GB"/>
              </w:rPr>
              <w:t>Grand Total</w:t>
            </w:r>
          </w:p>
        </w:tc>
        <w:tc>
          <w:tcPr>
            <w:tcW w:w="1201"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1465</w:t>
            </w:r>
          </w:p>
        </w:tc>
        <w:tc>
          <w:tcPr>
            <w:tcW w:w="1202" w:type="dxa"/>
            <w:tcBorders>
              <w:top w:val="nil"/>
              <w:left w:val="nil"/>
              <w:bottom w:val="single" w:sz="8" w:space="0" w:color="auto"/>
              <w:right w:val="single" w:sz="8" w:space="0" w:color="auto"/>
            </w:tcBorders>
            <w:shd w:val="clear" w:color="000000" w:fill="EAF1DD"/>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100.00%</w:t>
            </w:r>
          </w:p>
        </w:tc>
        <w:tc>
          <w:tcPr>
            <w:tcW w:w="1201" w:type="dxa"/>
            <w:tcBorders>
              <w:top w:val="nil"/>
              <w:left w:val="nil"/>
              <w:bottom w:val="single" w:sz="8" w:space="0" w:color="auto"/>
              <w:right w:val="single" w:sz="8" w:space="0" w:color="auto"/>
            </w:tcBorders>
            <w:shd w:val="clear" w:color="000000" w:fill="F2DCDB"/>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14844</w:t>
            </w:r>
          </w:p>
        </w:tc>
        <w:tc>
          <w:tcPr>
            <w:tcW w:w="1202" w:type="dxa"/>
            <w:tcBorders>
              <w:top w:val="nil"/>
              <w:left w:val="nil"/>
              <w:bottom w:val="single" w:sz="8" w:space="0" w:color="auto"/>
              <w:right w:val="single" w:sz="8" w:space="0" w:color="auto"/>
            </w:tcBorders>
            <w:shd w:val="clear" w:color="000000" w:fill="F2DCDB"/>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100.00%</w:t>
            </w:r>
          </w:p>
        </w:tc>
        <w:tc>
          <w:tcPr>
            <w:tcW w:w="1201" w:type="dxa"/>
            <w:tcBorders>
              <w:top w:val="nil"/>
              <w:left w:val="nil"/>
              <w:bottom w:val="single" w:sz="8" w:space="0" w:color="auto"/>
              <w:right w:val="single" w:sz="8" w:space="0" w:color="auto"/>
            </w:tcBorders>
            <w:shd w:val="clear" w:color="auto" w:fill="auto"/>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16,309</w:t>
            </w:r>
          </w:p>
        </w:tc>
        <w:tc>
          <w:tcPr>
            <w:tcW w:w="1202" w:type="dxa"/>
            <w:tcBorders>
              <w:top w:val="nil"/>
              <w:left w:val="nil"/>
              <w:bottom w:val="single" w:sz="8" w:space="0" w:color="auto"/>
              <w:right w:val="single" w:sz="8" w:space="0" w:color="auto"/>
            </w:tcBorders>
            <w:shd w:val="clear" w:color="000000" w:fill="FFFFFF"/>
            <w:noWrap/>
            <w:vAlign w:val="center"/>
            <w:hideMark/>
          </w:tcPr>
          <w:p w:rsidR="00136F92" w:rsidRPr="00136F92" w:rsidRDefault="00136F92" w:rsidP="00136F92">
            <w:pPr>
              <w:jc w:val="center"/>
              <w:rPr>
                <w:rFonts w:eastAsia="Times New Roman" w:cs="Arial"/>
                <w:color w:val="000000"/>
                <w:sz w:val="20"/>
                <w:szCs w:val="20"/>
                <w:lang w:eastAsia="en-GB"/>
              </w:rPr>
            </w:pPr>
            <w:r w:rsidRPr="00136F92">
              <w:rPr>
                <w:rFonts w:eastAsia="Times New Roman" w:cs="Arial"/>
                <w:color w:val="000000"/>
                <w:sz w:val="20"/>
                <w:szCs w:val="20"/>
                <w:lang w:eastAsia="en-GB"/>
              </w:rPr>
              <w:t>100.00%</w:t>
            </w:r>
          </w:p>
        </w:tc>
      </w:tr>
    </w:tbl>
    <w:p w:rsidR="00136F92" w:rsidRDefault="0097009B" w:rsidP="0097009B">
      <w:pPr>
        <w:pStyle w:val="quotes"/>
      </w:pPr>
      <w:r>
        <w:t>Table One:  Take up of places by setting type and funded hours</w:t>
      </w:r>
    </w:p>
    <w:p w:rsidR="00501CBF" w:rsidRDefault="00501CBF" w:rsidP="00311382"/>
    <w:p w:rsidR="00926479" w:rsidRPr="003D6188" w:rsidRDefault="00926479" w:rsidP="00926479">
      <w:pPr>
        <w:pStyle w:val="Heading3"/>
        <w:rPr>
          <w:b/>
          <w:bCs/>
        </w:rPr>
      </w:pPr>
      <w:r w:rsidRPr="003D6188">
        <w:rPr>
          <w:b/>
          <w:bCs/>
        </w:rPr>
        <w:t>Wards</w:t>
      </w:r>
    </w:p>
    <w:p w:rsidR="00AF53B4" w:rsidRDefault="004130E3" w:rsidP="00926479">
      <w:r>
        <w:t xml:space="preserve">Data for children </w:t>
      </w:r>
      <w:r w:rsidR="00AF53B4">
        <w:t xml:space="preserve">accessing a </w:t>
      </w:r>
      <w:r w:rsidR="00246F71">
        <w:t xml:space="preserve">funded </w:t>
      </w:r>
      <w:r w:rsidR="00AF53B4">
        <w:t xml:space="preserve">full-time place in the primary and nursery schools are </w:t>
      </w:r>
      <w:r>
        <w:t>only available at a school level, with no information collected on individual children</w:t>
      </w:r>
      <w:r w:rsidR="00AF53B4">
        <w:t xml:space="preserve">, so analysis of full-time funded places by area has been conducted in two parts.  For all children accessing their </w:t>
      </w:r>
      <w:r>
        <w:t xml:space="preserve">full-time </w:t>
      </w:r>
      <w:r w:rsidR="00AF53B4">
        <w:t>place in a special school or a PVI setting the data has been analysed by the child’s postcode, but for th</w:t>
      </w:r>
      <w:r w:rsidR="00246F71">
        <w:t>ose</w:t>
      </w:r>
      <w:r w:rsidR="00AF53B4">
        <w:t xml:space="preserve"> children accessing their place in a primary or nursery school, the data has been analysed on the postcode of the school.  As most children access a school close to home, this should provide a good indication of the areas</w:t>
      </w:r>
      <w:r w:rsidR="00246F71">
        <w:t xml:space="preserve"> where full-time places are predominantly</w:t>
      </w:r>
      <w:r w:rsidR="00AF53B4">
        <w:t xml:space="preserve"> accessed.  </w:t>
      </w:r>
    </w:p>
    <w:p w:rsidR="00AF53B4" w:rsidRDefault="00AF53B4" w:rsidP="00926479"/>
    <w:p w:rsidR="00926479" w:rsidRDefault="00AF53B4" w:rsidP="00926479">
      <w:r>
        <w:t>This a</w:t>
      </w:r>
      <w:r w:rsidR="00926479">
        <w:t>nalysis by ward shows enormous variation in the proportion of children being funded for full time places in different parts of the city.  The data shown in</w:t>
      </w:r>
      <w:r w:rsidR="00246F71">
        <w:t xml:space="preserve"> </w:t>
      </w:r>
      <w:r w:rsidR="00C82FDA">
        <w:t>Appendix One includes four</w:t>
      </w:r>
      <w:r w:rsidR="00926479">
        <w:t xml:space="preserve"> separate key items:</w:t>
      </w:r>
    </w:p>
    <w:p w:rsidR="00926479" w:rsidRDefault="00926479" w:rsidP="00926479">
      <w:pPr>
        <w:pStyle w:val="bullets"/>
      </w:pPr>
      <w:r>
        <w:t xml:space="preserve">proportion </w:t>
      </w:r>
      <w:r w:rsidR="008929F6">
        <w:t xml:space="preserve">and number </w:t>
      </w:r>
      <w:r>
        <w:t>of children living in the ward who have funded full time places</w:t>
      </w:r>
    </w:p>
    <w:p w:rsidR="00926479" w:rsidRDefault="00926479" w:rsidP="00926479">
      <w:pPr>
        <w:pStyle w:val="bullets"/>
      </w:pPr>
      <w:r>
        <w:t>proportion of children taking up EEE who have a funded full time place</w:t>
      </w:r>
    </w:p>
    <w:p w:rsidR="004E2552" w:rsidRPr="006C698A" w:rsidRDefault="00C82FDA" w:rsidP="004E2552">
      <w:pPr>
        <w:pStyle w:val="bullets"/>
      </w:pPr>
      <w:r>
        <w:t xml:space="preserve">overall take-up of EEE </w:t>
      </w:r>
      <w:r w:rsidR="004E2552">
        <w:br w:type="page"/>
      </w:r>
    </w:p>
    <w:p w:rsidR="00926479" w:rsidRDefault="00926479" w:rsidP="00926479">
      <w:r>
        <w:lastRenderedPageBreak/>
        <w:t xml:space="preserve">The analysis </w:t>
      </w:r>
      <w:proofErr w:type="gramStart"/>
      <w:r>
        <w:t>shows that in some wards the proportion of children with full time places is</w:t>
      </w:r>
      <w:proofErr w:type="gramEnd"/>
      <w:r>
        <w:t xml:space="preserve"> unusually high whilst the overall take-up is lower than average.  Specifically, Ladywood, Sparkbrook, </w:t>
      </w:r>
      <w:r w:rsidR="002F3C60">
        <w:t xml:space="preserve">and Bordesley Green </w:t>
      </w:r>
      <w:r>
        <w:t xml:space="preserve">fall into this category.  This suggests that the </w:t>
      </w:r>
      <w:r w:rsidR="002F3C60">
        <w:t xml:space="preserve">take-up of </w:t>
      </w:r>
      <w:r>
        <w:t xml:space="preserve">full-time places may be preventing take-up of the statutory requirement by other children in these wards.  Conversely, there are wards where overall take-up of EEE is very high and the proportion of children having full time places is also high – </w:t>
      </w:r>
      <w:r w:rsidR="002F3C60">
        <w:t>Tyburn, Washwood Heath, Weoley, Aston and Erdington</w:t>
      </w:r>
      <w:r>
        <w:t xml:space="preserve">.  This suggests that there are sufficient places in these wards to meet the current full-time needs.  </w:t>
      </w:r>
    </w:p>
    <w:p w:rsidR="004130E3" w:rsidRDefault="004130E3" w:rsidP="00926479"/>
    <w:p w:rsidR="004130E3" w:rsidRDefault="004130E3" w:rsidP="00926479">
      <w:r>
        <w:t>Overall, the data suggests that there is not a consistent approach in different areas of the city to allocation of full-time places.  This conclusion is supported by the data from schools, which show that some schools provide full-time places to all or nearly all of their children and others provide no funded full-time places.</w:t>
      </w:r>
    </w:p>
    <w:p w:rsidR="00926479" w:rsidRDefault="00926479" w:rsidP="00926479"/>
    <w:p w:rsidR="0097009B" w:rsidRPr="00501CBF" w:rsidRDefault="0097009B" w:rsidP="0097009B">
      <w:pPr>
        <w:pStyle w:val="Heading3"/>
        <w:rPr>
          <w:b/>
          <w:bCs/>
        </w:rPr>
      </w:pPr>
      <w:r w:rsidRPr="00501CBF">
        <w:rPr>
          <w:b/>
          <w:bCs/>
        </w:rPr>
        <w:t>Non-council funded places</w:t>
      </w:r>
    </w:p>
    <w:p w:rsidR="0097009B" w:rsidRDefault="00246F71" w:rsidP="0097009B">
      <w:r>
        <w:t xml:space="preserve">Table </w:t>
      </w:r>
      <w:proofErr w:type="gramStart"/>
      <w:r>
        <w:t>One</w:t>
      </w:r>
      <w:proofErr w:type="gramEnd"/>
      <w:r>
        <w:t xml:space="preserve"> </w:t>
      </w:r>
      <w:r w:rsidR="0097009B" w:rsidRPr="00B22FD0">
        <w:t>only shows those chil</w:t>
      </w:r>
      <w:r>
        <w:t>dren who have a full-time place</w:t>
      </w:r>
      <w:r w:rsidR="0097009B" w:rsidRPr="00B22FD0">
        <w:t xml:space="preserve"> funded by the council.  Some schools also offer full-time places for children funded from school budgets.  In autumn term 2016, these school-funded places accounted for 62% of all full-time places in schools.  These additional full-time places take the total proportion of </w:t>
      </w:r>
      <w:r w:rsidR="0097009B">
        <w:t xml:space="preserve">all EEE-funded </w:t>
      </w:r>
      <w:r w:rsidR="0097009B" w:rsidRPr="00B22FD0">
        <w:t>children hav</w:t>
      </w:r>
      <w:r w:rsidR="0097009B">
        <w:t>ing a full-time place to 15.6</w:t>
      </w:r>
      <w:r w:rsidR="0097009B" w:rsidRPr="00B22FD0">
        <w:t>% and represent an increase in school-funded places from 731 in the summer term to 979 in the autumn term, an increase of 34%.  This will have mitigated the impact of the change in criteria for full-time funded places in areas around those schools which are funding full-time places from their school budgets.</w:t>
      </w:r>
      <w:r w:rsidR="0097009B">
        <w:t xml:space="preserve">  </w:t>
      </w:r>
      <w:r w:rsidR="0005702B">
        <w:t xml:space="preserve">No conclusions can be drawn about the future of school-funded places should the council cease to fund any full-time places, as schools now also face changes to their own budgets as part of the government’s changes to the schools funding formula.  </w:t>
      </w:r>
    </w:p>
    <w:p w:rsidR="00F834B5" w:rsidRDefault="00F834B5" w:rsidP="0097009B"/>
    <w:p w:rsidR="00F834B5" w:rsidRDefault="00F834B5" w:rsidP="0097009B">
      <w:r w:rsidRPr="00CE72F6">
        <w:t xml:space="preserve">Full data on school-funded places can be found in Appendix Two. </w:t>
      </w:r>
      <w:r w:rsidR="00CE72F6" w:rsidRPr="00CE72F6">
        <w:t xml:space="preserve"> Schools in five wards</w:t>
      </w:r>
      <w:r w:rsidR="00CE72F6">
        <w:t xml:space="preserve"> provide a large number of places, taking the total proportion of children funded full-time in thes</w:t>
      </w:r>
      <w:r w:rsidR="00750495">
        <w:t xml:space="preserve">e wards to well above average; </w:t>
      </w:r>
      <w:r w:rsidR="00CE72F6">
        <w:t>these wards are:</w:t>
      </w:r>
    </w:p>
    <w:p w:rsidR="00CE72F6" w:rsidRDefault="00CE72F6" w:rsidP="00CE72F6">
      <w:pPr>
        <w:pStyle w:val="bullets"/>
      </w:pPr>
      <w:r>
        <w:t>Kingstanding</w:t>
      </w:r>
    </w:p>
    <w:p w:rsidR="00CE72F6" w:rsidRDefault="00CE72F6" w:rsidP="00CE72F6">
      <w:pPr>
        <w:pStyle w:val="bullets"/>
      </w:pPr>
      <w:r>
        <w:t>Quinton</w:t>
      </w:r>
    </w:p>
    <w:p w:rsidR="00CE72F6" w:rsidRDefault="00CE72F6" w:rsidP="00CE72F6">
      <w:pPr>
        <w:pStyle w:val="bullets"/>
      </w:pPr>
      <w:r>
        <w:t>South Yardley</w:t>
      </w:r>
    </w:p>
    <w:p w:rsidR="00CE72F6" w:rsidRDefault="00CE72F6" w:rsidP="00CE72F6">
      <w:pPr>
        <w:pStyle w:val="bullets"/>
      </w:pPr>
      <w:r>
        <w:t>Northfield</w:t>
      </w:r>
    </w:p>
    <w:p w:rsidR="00CE72F6" w:rsidRDefault="00CE72F6" w:rsidP="00CE72F6">
      <w:pPr>
        <w:pStyle w:val="bullets"/>
      </w:pPr>
      <w:r>
        <w:t>Stechford and Yardley North.</w:t>
      </w:r>
    </w:p>
    <w:p w:rsidR="0097009B" w:rsidRDefault="0097009B" w:rsidP="00926479"/>
    <w:p w:rsidR="00F04F8F" w:rsidRPr="003D6188" w:rsidRDefault="00362838" w:rsidP="003D6188">
      <w:pPr>
        <w:pStyle w:val="Heading3"/>
        <w:rPr>
          <w:b/>
          <w:bCs/>
        </w:rPr>
      </w:pPr>
      <w:r>
        <w:rPr>
          <w:b/>
          <w:bCs/>
        </w:rPr>
        <w:t>Full-time places by criteria awarded</w:t>
      </w:r>
    </w:p>
    <w:p w:rsidR="00362838" w:rsidRDefault="00362838" w:rsidP="00D16E73">
      <w:r>
        <w:t xml:space="preserve">Table Two shows the proportion of children accessing a full-time place under each of the criteria for funding.  </w:t>
      </w:r>
      <w:r w:rsidR="0051576C">
        <w:t xml:space="preserve">In </w:t>
      </w:r>
      <w:r w:rsidR="006316B2">
        <w:t xml:space="preserve">both the </w:t>
      </w:r>
      <w:r w:rsidR="0051576C">
        <w:t xml:space="preserve">PVI </w:t>
      </w:r>
      <w:r w:rsidR="006316B2">
        <w:t xml:space="preserve">and maintained sectors </w:t>
      </w:r>
      <w:r w:rsidR="0051576C">
        <w:t xml:space="preserve">some settings have recorded a child as meeting more than one </w:t>
      </w:r>
      <w:proofErr w:type="gramStart"/>
      <w:r w:rsidR="0051576C">
        <w:t>criteria</w:t>
      </w:r>
      <w:proofErr w:type="gramEnd"/>
      <w:r w:rsidR="0051576C">
        <w:t xml:space="preserve">, with a total of </w:t>
      </w:r>
      <w:r w:rsidR="0017209C">
        <w:t>16</w:t>
      </w:r>
      <w:r w:rsidR="006316B2">
        <w:t>9 children being recorded as meeting more than one criteria for full-time funding.  The</w:t>
      </w:r>
      <w:r w:rsidR="003038EB">
        <w:t>refore, the</w:t>
      </w:r>
      <w:r w:rsidR="006316B2">
        <w:t xml:space="preserve"> proportions </w:t>
      </w:r>
      <w:r w:rsidR="003038EB">
        <w:t xml:space="preserve">of children in each category total more than 100%.  </w:t>
      </w:r>
      <w:r>
        <w:t xml:space="preserve">As the numbers of children in most categories are low, analysis by ward has </w:t>
      </w:r>
      <w:r w:rsidR="00CE72F6">
        <w:t xml:space="preserve">not </w:t>
      </w:r>
      <w:r>
        <w:t xml:space="preserve">been </w:t>
      </w:r>
      <w:r w:rsidR="00CE72F6">
        <w:t>possible</w:t>
      </w:r>
      <w:r>
        <w:t xml:space="preserve">.  </w:t>
      </w:r>
    </w:p>
    <w:p w:rsidR="000A0A5A" w:rsidRDefault="000A0A5A" w:rsidP="00D16E73"/>
    <w:p w:rsidR="001E2447" w:rsidRDefault="001E2447" w:rsidP="00D16E73">
      <w:r>
        <w:t xml:space="preserve">The three main criteria under which children have been funded full-time are: </w:t>
      </w:r>
    </w:p>
    <w:p w:rsidR="001E2447" w:rsidRDefault="001E2447" w:rsidP="001E2447">
      <w:pPr>
        <w:pStyle w:val="bullets"/>
        <w:rPr>
          <w:lang w:eastAsia="en-GB"/>
        </w:rPr>
      </w:pPr>
      <w:r w:rsidRPr="00362838">
        <w:rPr>
          <w:lang w:eastAsia="en-GB"/>
        </w:rPr>
        <w:t>Children with diagnosed disabilities who have (or are in the process of getting) an education, health and care plan and/or are in receipt of Disability Living Allowance. Or children who have been referred to or by a child development centre or equivalent specialist education agency</w:t>
      </w:r>
      <w:r w:rsidR="003C285B">
        <w:rPr>
          <w:lang w:eastAsia="en-GB"/>
        </w:rPr>
        <w:t>.</w:t>
      </w:r>
    </w:p>
    <w:p w:rsidR="001E2447" w:rsidRDefault="001E2447" w:rsidP="001E2447">
      <w:pPr>
        <w:pStyle w:val="bullets"/>
        <w:rPr>
          <w:lang w:eastAsia="en-GB"/>
        </w:rPr>
      </w:pPr>
      <w:r w:rsidRPr="00362838">
        <w:rPr>
          <w:lang w:eastAsia="en-GB"/>
        </w:rPr>
        <w:t>Children who are in the first stages of language development</w:t>
      </w:r>
      <w:r w:rsidR="003C285B">
        <w:rPr>
          <w:lang w:eastAsia="en-GB"/>
        </w:rPr>
        <w:t>.</w:t>
      </w:r>
    </w:p>
    <w:p w:rsidR="004E2552" w:rsidRPr="004E2552" w:rsidRDefault="001E2447" w:rsidP="004E2552">
      <w:pPr>
        <w:pStyle w:val="bullets"/>
        <w:rPr>
          <w:lang w:eastAsia="en-GB"/>
        </w:rPr>
      </w:pPr>
      <w:r w:rsidRPr="00362838">
        <w:rPr>
          <w:lang w:eastAsia="en-GB"/>
        </w:rPr>
        <w:t>Child was funded for a full time place in the Summer 2016 term</w:t>
      </w:r>
      <w:r w:rsidR="003C285B">
        <w:rPr>
          <w:lang w:eastAsia="en-GB"/>
        </w:rPr>
        <w:t xml:space="preserve"> </w:t>
      </w:r>
      <w:r w:rsidR="004E2552">
        <w:rPr>
          <w:lang w:eastAsia="en-GB"/>
        </w:rPr>
        <w:br w:type="page"/>
      </w:r>
    </w:p>
    <w:p w:rsidR="001E2447" w:rsidRDefault="001E2447" w:rsidP="00D16E73">
      <w:r>
        <w:lastRenderedPageBreak/>
        <w:t xml:space="preserve">Whilst there </w:t>
      </w:r>
      <w:r w:rsidR="008206E4">
        <w:t xml:space="preserve">will be no long term impact of withdrawing funding from the last of these, there is likely to be a significant impact on children with disabilities and those in the first stages of language development.  The total number of children funded within these two criteria is </w:t>
      </w:r>
      <w:r w:rsidR="00DE7DD1">
        <w:t>763.</w:t>
      </w:r>
    </w:p>
    <w:p w:rsidR="001E2447" w:rsidRDefault="001E2447" w:rsidP="00D16E73"/>
    <w:p w:rsidR="00DE7DD1" w:rsidRDefault="000A0A5A" w:rsidP="00D16E73">
      <w:r>
        <w:t xml:space="preserve">The data shows differences between the PVI and maintained sector in a number of </w:t>
      </w:r>
      <w:r w:rsidR="001E2447">
        <w:t xml:space="preserve">the criteria.  These differences are explored in the sections below.  </w:t>
      </w:r>
      <w:r w:rsidR="00D57C77">
        <w:t>For ful</w:t>
      </w:r>
      <w:r w:rsidR="00245223">
        <w:t>l details, please see Appendix Three</w:t>
      </w:r>
      <w:r w:rsidR="00D57C77">
        <w:t xml:space="preserve">. </w:t>
      </w:r>
    </w:p>
    <w:p w:rsidR="00362838" w:rsidRDefault="00362838" w:rsidP="00D16E73"/>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370"/>
        <w:gridCol w:w="1370"/>
        <w:gridCol w:w="1370"/>
      </w:tblGrid>
      <w:tr w:rsidR="00362838" w:rsidRPr="004E2552" w:rsidTr="004E2552">
        <w:trPr>
          <w:trHeight w:val="510"/>
        </w:trPr>
        <w:tc>
          <w:tcPr>
            <w:tcW w:w="4977" w:type="dxa"/>
            <w:shd w:val="clear" w:color="auto" w:fill="auto"/>
            <w:vAlign w:val="center"/>
            <w:hideMark/>
          </w:tcPr>
          <w:p w:rsidR="00362838" w:rsidRPr="004E2552" w:rsidRDefault="00362838" w:rsidP="00362838">
            <w:pPr>
              <w:rPr>
                <w:rFonts w:eastAsia="Times New Roman" w:cs="Arial"/>
                <w:b/>
                <w:color w:val="000000"/>
                <w:lang w:eastAsia="en-GB"/>
              </w:rPr>
            </w:pPr>
            <w:r w:rsidRPr="004E2552">
              <w:rPr>
                <w:rFonts w:eastAsia="Times New Roman" w:cs="Arial"/>
                <w:b/>
                <w:color w:val="000000"/>
                <w:lang w:eastAsia="en-GB"/>
              </w:rPr>
              <w:t>Criteria for funding</w:t>
            </w:r>
          </w:p>
        </w:tc>
        <w:tc>
          <w:tcPr>
            <w:tcW w:w="1370" w:type="dxa"/>
            <w:shd w:val="clear" w:color="auto" w:fill="auto"/>
            <w:vAlign w:val="center"/>
            <w:hideMark/>
          </w:tcPr>
          <w:p w:rsidR="00362838" w:rsidRPr="004E2552" w:rsidRDefault="00362838" w:rsidP="00362838">
            <w:pPr>
              <w:jc w:val="center"/>
              <w:rPr>
                <w:rFonts w:eastAsia="Times New Roman" w:cs="Arial"/>
                <w:b/>
                <w:color w:val="000000"/>
                <w:lang w:eastAsia="en-GB"/>
              </w:rPr>
            </w:pPr>
            <w:r w:rsidRPr="004E2552">
              <w:rPr>
                <w:rFonts w:eastAsia="Times New Roman" w:cs="Arial"/>
                <w:b/>
                <w:color w:val="000000"/>
                <w:lang w:eastAsia="en-GB"/>
              </w:rPr>
              <w:t xml:space="preserve">Proportion of all </w:t>
            </w:r>
            <w:r w:rsidR="004E2552">
              <w:rPr>
                <w:rFonts w:eastAsia="Times New Roman" w:cs="Arial"/>
                <w:b/>
                <w:color w:val="000000"/>
                <w:lang w:eastAsia="en-GB"/>
              </w:rPr>
              <w:t xml:space="preserve">FT </w:t>
            </w:r>
            <w:r w:rsidRPr="004E2552">
              <w:rPr>
                <w:rFonts w:eastAsia="Times New Roman" w:cs="Arial"/>
                <w:b/>
                <w:color w:val="000000"/>
                <w:lang w:eastAsia="en-GB"/>
              </w:rPr>
              <w:t>children</w:t>
            </w:r>
          </w:p>
        </w:tc>
        <w:tc>
          <w:tcPr>
            <w:tcW w:w="1370" w:type="dxa"/>
            <w:shd w:val="clear" w:color="auto" w:fill="auto"/>
            <w:vAlign w:val="center"/>
            <w:hideMark/>
          </w:tcPr>
          <w:p w:rsidR="00362838" w:rsidRPr="004E2552" w:rsidRDefault="00362838" w:rsidP="00362838">
            <w:pPr>
              <w:jc w:val="center"/>
              <w:rPr>
                <w:rFonts w:eastAsia="Times New Roman" w:cs="Arial"/>
                <w:b/>
                <w:color w:val="000000"/>
                <w:lang w:eastAsia="en-GB"/>
              </w:rPr>
            </w:pPr>
            <w:r w:rsidRPr="004E2552">
              <w:rPr>
                <w:rFonts w:eastAsia="Times New Roman" w:cs="Arial"/>
                <w:b/>
                <w:color w:val="000000"/>
                <w:lang w:eastAsia="en-GB"/>
              </w:rPr>
              <w:t xml:space="preserve">Proportion PVI </w:t>
            </w:r>
            <w:r w:rsidR="004E2552">
              <w:rPr>
                <w:rFonts w:eastAsia="Times New Roman" w:cs="Arial"/>
                <w:b/>
                <w:color w:val="000000"/>
                <w:lang w:eastAsia="en-GB"/>
              </w:rPr>
              <w:t xml:space="preserve">FT </w:t>
            </w:r>
            <w:r w:rsidRPr="004E2552">
              <w:rPr>
                <w:rFonts w:eastAsia="Times New Roman" w:cs="Arial"/>
                <w:b/>
                <w:color w:val="000000"/>
                <w:lang w:eastAsia="en-GB"/>
              </w:rPr>
              <w:t>children</w:t>
            </w:r>
          </w:p>
        </w:tc>
        <w:tc>
          <w:tcPr>
            <w:tcW w:w="1370" w:type="dxa"/>
            <w:shd w:val="clear" w:color="auto" w:fill="auto"/>
            <w:vAlign w:val="center"/>
            <w:hideMark/>
          </w:tcPr>
          <w:p w:rsidR="00362838" w:rsidRPr="004E2552" w:rsidRDefault="00362838" w:rsidP="00362838">
            <w:pPr>
              <w:jc w:val="center"/>
              <w:rPr>
                <w:rFonts w:eastAsia="Times New Roman" w:cs="Arial"/>
                <w:b/>
                <w:color w:val="000000"/>
                <w:lang w:eastAsia="en-GB"/>
              </w:rPr>
            </w:pPr>
            <w:r w:rsidRPr="004E2552">
              <w:rPr>
                <w:rFonts w:eastAsia="Times New Roman" w:cs="Arial"/>
                <w:b/>
                <w:color w:val="000000"/>
                <w:lang w:eastAsia="en-GB"/>
              </w:rPr>
              <w:t xml:space="preserve">Proportion LA </w:t>
            </w:r>
            <w:r w:rsidR="004E2552">
              <w:rPr>
                <w:rFonts w:eastAsia="Times New Roman" w:cs="Arial"/>
                <w:b/>
                <w:color w:val="000000"/>
                <w:lang w:eastAsia="en-GB"/>
              </w:rPr>
              <w:t xml:space="preserve">FT </w:t>
            </w:r>
            <w:r w:rsidRPr="004E2552">
              <w:rPr>
                <w:rFonts w:eastAsia="Times New Roman" w:cs="Arial"/>
                <w:b/>
                <w:color w:val="000000"/>
                <w:lang w:eastAsia="en-GB"/>
              </w:rPr>
              <w:t>children</w:t>
            </w:r>
          </w:p>
        </w:tc>
      </w:tr>
      <w:tr w:rsidR="00925935" w:rsidRPr="004E2552" w:rsidTr="004E2552">
        <w:trPr>
          <w:trHeight w:val="1158"/>
        </w:trPr>
        <w:tc>
          <w:tcPr>
            <w:tcW w:w="4977" w:type="dxa"/>
            <w:shd w:val="clear" w:color="auto" w:fill="auto"/>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with a child protection plan, or who are subject to a section 47 child protection investigation or a section 17 children in need plan</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4.5%</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7.7%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3.7%</w:t>
            </w:r>
          </w:p>
        </w:tc>
      </w:tr>
      <w:tr w:rsidR="00925935" w:rsidRPr="004E2552" w:rsidTr="004E2552">
        <w:trPr>
          <w:trHeight w:val="255"/>
        </w:trPr>
        <w:tc>
          <w:tcPr>
            <w:tcW w:w="4977" w:type="dxa"/>
            <w:shd w:val="clear" w:color="auto" w:fill="auto"/>
            <w:vAlign w:val="bottom"/>
            <w:hideMark/>
          </w:tcPr>
          <w:p w:rsidR="00925935" w:rsidRPr="004E2552" w:rsidRDefault="00925935" w:rsidP="006559A6">
            <w:pPr>
              <w:spacing w:before="60" w:after="60"/>
              <w:rPr>
                <w:rFonts w:eastAsia="Times New Roman" w:cs="Arial"/>
                <w:color w:val="000000"/>
                <w:lang w:eastAsia="en-GB"/>
              </w:rPr>
            </w:pPr>
            <w:r w:rsidRPr="004E2552">
              <w:rPr>
                <w:rFonts w:eastAsia="Times New Roman" w:cs="Arial"/>
                <w:color w:val="000000"/>
                <w:lang w:eastAsia="en-GB"/>
              </w:rPr>
              <w:t xml:space="preserve">Children in local authority care </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2.7%</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3.7%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2.5%</w:t>
            </w:r>
          </w:p>
        </w:tc>
      </w:tr>
      <w:tr w:rsidR="00925935" w:rsidRPr="004E2552" w:rsidTr="004E2552">
        <w:trPr>
          <w:trHeight w:val="1182"/>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identified as in need of early help through a family common assessment framework (fCAF) and have in place a family support plan</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7.4%</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9.4%</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6.9%</w:t>
            </w:r>
          </w:p>
        </w:tc>
      </w:tr>
      <w:tr w:rsidR="00925935" w:rsidRPr="004E2552" w:rsidTr="004E2552">
        <w:trPr>
          <w:trHeight w:val="169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with diagnosed disabilities who have (or are in the process of getting) an education, health and care plan and/or are in receipt of Disability Living Allowance. Or children who have been referred to or by a child development centre or equivalent specialist education agency</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20.3%</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25.4%</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18.9%</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from families where their physical accommodation places the child at risk of harm</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1.7%</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0.0%</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2.2%</w:t>
            </w:r>
          </w:p>
        </w:tc>
      </w:tr>
      <w:tr w:rsidR="00925935" w:rsidRPr="004E2552" w:rsidTr="004E2552">
        <w:trPr>
          <w:trHeight w:val="510"/>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whose parents/carers need support as a result of their physical disability, learning disability, mental health problem or illness</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9.2%</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11.0%</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8.7%</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with parents/carers in prison</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1.3%</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0.7%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1.5%</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from families experiencing domestic violence or drug/alcohol abuse</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3.2%</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4.7%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2.8%</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who are in the first stages of language development</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32.2%</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15.7%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36.5%</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from families with no recourse to public funds</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1.7%</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1.7%</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1.7%</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Children in exceptional circumstances around a safeguarding/vulnerable situation need</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4.8%</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1.0%</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5.8%</w:t>
            </w:r>
          </w:p>
        </w:tc>
      </w:tr>
      <w:tr w:rsidR="00925935" w:rsidRPr="004E2552" w:rsidTr="004E2552">
        <w:trPr>
          <w:trHeight w:val="255"/>
        </w:trPr>
        <w:tc>
          <w:tcPr>
            <w:tcW w:w="4977" w:type="dxa"/>
            <w:shd w:val="clear" w:color="auto" w:fill="auto"/>
            <w:vAlign w:val="bottom"/>
            <w:hideMark/>
          </w:tcPr>
          <w:p w:rsidR="00925935" w:rsidRPr="004E2552" w:rsidRDefault="00925935" w:rsidP="004E2552">
            <w:pPr>
              <w:spacing w:before="60" w:after="60"/>
              <w:rPr>
                <w:rFonts w:eastAsia="Times New Roman" w:cs="Arial"/>
                <w:color w:val="000000"/>
                <w:lang w:eastAsia="en-GB"/>
              </w:rPr>
            </w:pPr>
            <w:r w:rsidRPr="004E2552">
              <w:rPr>
                <w:rFonts w:eastAsia="Times New Roman" w:cs="Arial"/>
                <w:color w:val="000000"/>
                <w:lang w:eastAsia="en-GB"/>
              </w:rPr>
              <w:t>Child was funded for a full time place in the Summer 2016 term</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22.5%</w:t>
            </w:r>
          </w:p>
        </w:tc>
        <w:tc>
          <w:tcPr>
            <w:tcW w:w="1370" w:type="dxa"/>
            <w:shd w:val="clear" w:color="auto" w:fill="auto"/>
            <w:vAlign w:val="center"/>
            <w:hideMark/>
          </w:tcPr>
          <w:p w:rsidR="00925935" w:rsidRPr="00925935" w:rsidRDefault="00925935">
            <w:pPr>
              <w:jc w:val="center"/>
              <w:rPr>
                <w:rFonts w:cs="Arial"/>
                <w:color w:val="000000"/>
              </w:rPr>
            </w:pPr>
            <w:r w:rsidRPr="00925935">
              <w:rPr>
                <w:rFonts w:cs="Arial"/>
                <w:color w:val="000000"/>
              </w:rPr>
              <w:t>43.8%</w:t>
            </w:r>
          </w:p>
        </w:tc>
        <w:tc>
          <w:tcPr>
            <w:tcW w:w="1370" w:type="dxa"/>
            <w:shd w:val="clear" w:color="auto" w:fill="auto"/>
            <w:vAlign w:val="center"/>
            <w:hideMark/>
          </w:tcPr>
          <w:p w:rsidR="00925935" w:rsidRPr="004E2552" w:rsidRDefault="00925935">
            <w:pPr>
              <w:jc w:val="center"/>
              <w:rPr>
                <w:rFonts w:cs="Arial"/>
                <w:color w:val="000000"/>
              </w:rPr>
            </w:pPr>
            <w:r w:rsidRPr="004E2552">
              <w:rPr>
                <w:rFonts w:cs="Arial"/>
                <w:color w:val="000000"/>
              </w:rPr>
              <w:t>16.9%</w:t>
            </w:r>
          </w:p>
        </w:tc>
      </w:tr>
      <w:tr w:rsidR="00925935" w:rsidRPr="004E2552" w:rsidTr="004E2552">
        <w:trPr>
          <w:trHeight w:val="255"/>
        </w:trPr>
        <w:tc>
          <w:tcPr>
            <w:tcW w:w="4977" w:type="dxa"/>
            <w:shd w:val="clear" w:color="auto" w:fill="auto"/>
            <w:hideMark/>
          </w:tcPr>
          <w:p w:rsidR="00925935" w:rsidRPr="004E2552" w:rsidRDefault="00925935" w:rsidP="004E2552">
            <w:pPr>
              <w:spacing w:before="60" w:after="60"/>
              <w:rPr>
                <w:rFonts w:eastAsia="Times New Roman" w:cs="Arial"/>
                <w:b/>
                <w:color w:val="000000"/>
                <w:lang w:eastAsia="en-GB"/>
              </w:rPr>
            </w:pPr>
            <w:r w:rsidRPr="004E2552">
              <w:rPr>
                <w:rFonts w:eastAsia="Times New Roman" w:cs="Arial"/>
                <w:b/>
                <w:color w:val="000000"/>
                <w:lang w:eastAsia="en-GB"/>
              </w:rPr>
              <w:t>Total</w:t>
            </w:r>
          </w:p>
        </w:tc>
        <w:tc>
          <w:tcPr>
            <w:tcW w:w="1370" w:type="dxa"/>
            <w:shd w:val="clear" w:color="auto" w:fill="auto"/>
            <w:vAlign w:val="center"/>
            <w:hideMark/>
          </w:tcPr>
          <w:p w:rsidR="00925935" w:rsidRPr="00925935" w:rsidRDefault="00925935">
            <w:pPr>
              <w:jc w:val="center"/>
              <w:rPr>
                <w:rFonts w:cs="Arial"/>
                <w:b/>
                <w:color w:val="000000"/>
              </w:rPr>
            </w:pPr>
            <w:r w:rsidRPr="00925935">
              <w:rPr>
                <w:rFonts w:cs="Arial"/>
                <w:b/>
                <w:color w:val="000000"/>
              </w:rPr>
              <w:t>111.5%</w:t>
            </w:r>
          </w:p>
        </w:tc>
        <w:tc>
          <w:tcPr>
            <w:tcW w:w="1370" w:type="dxa"/>
            <w:shd w:val="clear" w:color="auto" w:fill="auto"/>
            <w:vAlign w:val="center"/>
            <w:hideMark/>
          </w:tcPr>
          <w:p w:rsidR="00925935" w:rsidRPr="00925935" w:rsidRDefault="00925935">
            <w:pPr>
              <w:jc w:val="center"/>
              <w:rPr>
                <w:rFonts w:cs="Arial"/>
                <w:b/>
                <w:color w:val="000000"/>
              </w:rPr>
            </w:pPr>
            <w:r w:rsidRPr="00925935">
              <w:rPr>
                <w:rFonts w:cs="Arial"/>
                <w:b/>
                <w:color w:val="000000"/>
              </w:rPr>
              <w:t>124.7%</w:t>
            </w:r>
          </w:p>
        </w:tc>
        <w:tc>
          <w:tcPr>
            <w:tcW w:w="1370" w:type="dxa"/>
            <w:shd w:val="clear" w:color="auto" w:fill="auto"/>
            <w:vAlign w:val="center"/>
            <w:hideMark/>
          </w:tcPr>
          <w:p w:rsidR="00925935" w:rsidRPr="004E2552" w:rsidRDefault="00925935">
            <w:pPr>
              <w:jc w:val="center"/>
              <w:rPr>
                <w:rFonts w:cs="Arial"/>
                <w:b/>
                <w:color w:val="000000"/>
              </w:rPr>
            </w:pPr>
            <w:r w:rsidRPr="004E2552">
              <w:rPr>
                <w:rFonts w:cs="Arial"/>
                <w:b/>
                <w:color w:val="000000"/>
              </w:rPr>
              <w:t>108.1%</w:t>
            </w:r>
          </w:p>
        </w:tc>
      </w:tr>
    </w:tbl>
    <w:p w:rsidR="00362838" w:rsidRDefault="000A0A5A" w:rsidP="000A0A5A">
      <w:pPr>
        <w:pStyle w:val="quotes"/>
      </w:pPr>
      <w:r>
        <w:t>Table Two:  Proportion of all FT funded places by criteria</w:t>
      </w:r>
    </w:p>
    <w:p w:rsidR="00362838" w:rsidRDefault="00362838" w:rsidP="00D16E73"/>
    <w:p w:rsidR="004E2552" w:rsidRDefault="004E2552">
      <w:pPr>
        <w:rPr>
          <w:rFonts w:cs="Arial"/>
          <w:b/>
          <w:bCs/>
          <w:szCs w:val="32"/>
        </w:rPr>
      </w:pPr>
      <w:r>
        <w:rPr>
          <w:b/>
          <w:bCs/>
        </w:rPr>
        <w:br w:type="page"/>
      </w:r>
    </w:p>
    <w:p w:rsidR="00DE7DD1" w:rsidRPr="00146035" w:rsidRDefault="00146035" w:rsidP="00146035">
      <w:pPr>
        <w:pStyle w:val="Heading3"/>
        <w:rPr>
          <w:b/>
          <w:bCs/>
        </w:rPr>
      </w:pPr>
      <w:r w:rsidRPr="00146035">
        <w:rPr>
          <w:b/>
          <w:bCs/>
        </w:rPr>
        <w:lastRenderedPageBreak/>
        <w:t>Safeguarding criteria</w:t>
      </w:r>
    </w:p>
    <w:p w:rsidR="00146035" w:rsidRDefault="00146035" w:rsidP="00D16E73">
      <w:r>
        <w:t>There are five criteria which encompass safeguarding:</w:t>
      </w:r>
    </w:p>
    <w:p w:rsidR="00146035" w:rsidRPr="00362838" w:rsidRDefault="00146035" w:rsidP="00146035">
      <w:pPr>
        <w:pStyle w:val="numbers"/>
        <w:rPr>
          <w:lang w:eastAsia="en-GB"/>
        </w:rPr>
      </w:pPr>
      <w:r w:rsidRPr="00362838">
        <w:rPr>
          <w:lang w:eastAsia="en-GB"/>
        </w:rPr>
        <w:t>Children with a child protection plan, or who are subject to a section 47 child protection investigation or a section 17 children in need plan</w:t>
      </w:r>
      <w:r w:rsidR="00AE0EC4">
        <w:rPr>
          <w:lang w:eastAsia="en-GB"/>
        </w:rPr>
        <w:t xml:space="preserve"> (65</w:t>
      </w:r>
      <w:r w:rsidR="00373E9F">
        <w:rPr>
          <w:lang w:eastAsia="en-GB"/>
        </w:rPr>
        <w:t xml:space="preserve"> children)</w:t>
      </w:r>
    </w:p>
    <w:p w:rsidR="00146035" w:rsidRPr="00362838" w:rsidRDefault="00146035" w:rsidP="00146035">
      <w:pPr>
        <w:pStyle w:val="numbers"/>
        <w:rPr>
          <w:lang w:eastAsia="en-GB"/>
        </w:rPr>
      </w:pPr>
      <w:r w:rsidRPr="00362838">
        <w:rPr>
          <w:lang w:eastAsia="en-GB"/>
        </w:rPr>
        <w:t xml:space="preserve">Children in local authority care </w:t>
      </w:r>
      <w:r w:rsidR="006559A6">
        <w:rPr>
          <w:lang w:eastAsia="en-GB"/>
        </w:rPr>
        <w:t>(39</w:t>
      </w:r>
      <w:r w:rsidR="00373E9F">
        <w:rPr>
          <w:lang w:eastAsia="en-GB"/>
        </w:rPr>
        <w:t xml:space="preserve"> children)</w:t>
      </w:r>
    </w:p>
    <w:p w:rsidR="00146035" w:rsidRPr="00362838" w:rsidRDefault="00146035" w:rsidP="00146035">
      <w:pPr>
        <w:pStyle w:val="numbers"/>
        <w:rPr>
          <w:lang w:eastAsia="en-GB"/>
        </w:rPr>
      </w:pPr>
      <w:r w:rsidRPr="00362838">
        <w:rPr>
          <w:lang w:eastAsia="en-GB"/>
        </w:rPr>
        <w:t>Children identified as in need of early help through a family common assessment framework (fCAF) and have in place a family support plan</w:t>
      </w:r>
      <w:r w:rsidR="00373E9F">
        <w:rPr>
          <w:lang w:eastAsia="en-GB"/>
        </w:rPr>
        <w:t xml:space="preserve"> (107 children)</w:t>
      </w:r>
    </w:p>
    <w:p w:rsidR="00146035" w:rsidRDefault="00146035" w:rsidP="00146035">
      <w:pPr>
        <w:pStyle w:val="numbers"/>
      </w:pPr>
      <w:r w:rsidRPr="00362838">
        <w:rPr>
          <w:lang w:eastAsia="en-GB"/>
        </w:rPr>
        <w:t>Children from families where their physical accommodation places the child at risk of harm</w:t>
      </w:r>
      <w:r w:rsidR="00373E9F">
        <w:rPr>
          <w:lang w:eastAsia="en-GB"/>
        </w:rPr>
        <w:t xml:space="preserve"> (25 children)</w:t>
      </w:r>
    </w:p>
    <w:p w:rsidR="00146035" w:rsidRDefault="00146035" w:rsidP="00146035">
      <w:pPr>
        <w:pStyle w:val="numbers"/>
        <w:rPr>
          <w:lang w:eastAsia="en-GB"/>
        </w:rPr>
      </w:pPr>
      <w:r w:rsidRPr="00362838">
        <w:rPr>
          <w:lang w:eastAsia="en-GB"/>
        </w:rPr>
        <w:t>Children in exceptional circumstances around a safeguarding/vulnerable situation need</w:t>
      </w:r>
      <w:r w:rsidR="00373E9F">
        <w:rPr>
          <w:lang w:eastAsia="en-GB"/>
        </w:rPr>
        <w:t xml:space="preserve"> (69 children)</w:t>
      </w:r>
    </w:p>
    <w:p w:rsidR="00373E9F" w:rsidRDefault="00146035" w:rsidP="00146035">
      <w:pPr>
        <w:rPr>
          <w:lang w:eastAsia="en-GB"/>
        </w:rPr>
      </w:pPr>
      <w:r>
        <w:rPr>
          <w:lang w:eastAsia="en-GB"/>
        </w:rPr>
        <w:t xml:space="preserve">Overall, </w:t>
      </w:r>
      <w:r w:rsidR="00AE0EC4">
        <w:rPr>
          <w:lang w:eastAsia="en-GB"/>
        </w:rPr>
        <w:t>305</w:t>
      </w:r>
      <w:r>
        <w:rPr>
          <w:lang w:eastAsia="en-GB"/>
        </w:rPr>
        <w:t xml:space="preserve"> children were funded under these criteria, with </w:t>
      </w:r>
      <w:r w:rsidR="00AE0EC4">
        <w:rPr>
          <w:lang w:eastAsia="en-GB"/>
        </w:rPr>
        <w:t>69% of them – 211</w:t>
      </w:r>
      <w:r w:rsidR="00373E9F">
        <w:rPr>
          <w:lang w:eastAsia="en-GB"/>
        </w:rPr>
        <w:t xml:space="preserve"> children – on a plan for vulnerable children of one kind or another.</w:t>
      </w:r>
    </w:p>
    <w:p w:rsidR="00373E9F" w:rsidRDefault="00373E9F" w:rsidP="00146035">
      <w:pPr>
        <w:rPr>
          <w:lang w:eastAsia="en-GB"/>
        </w:rPr>
      </w:pPr>
    </w:p>
    <w:p w:rsidR="00146035" w:rsidRDefault="00AE0EC4" w:rsidP="00146035">
      <w:pPr>
        <w:rPr>
          <w:lang w:eastAsia="en-GB"/>
        </w:rPr>
      </w:pPr>
      <w:r>
        <w:rPr>
          <w:lang w:eastAsia="en-GB"/>
        </w:rPr>
        <w:t>A</w:t>
      </w:r>
      <w:r w:rsidR="006559A6">
        <w:rPr>
          <w:lang w:eastAsia="en-GB"/>
        </w:rPr>
        <w:t xml:space="preserve"> </w:t>
      </w:r>
      <w:r w:rsidR="00031136">
        <w:rPr>
          <w:lang w:eastAsia="en-GB"/>
        </w:rPr>
        <w:t>higher proportion of children in PVIs accessed full-time places on the b</w:t>
      </w:r>
      <w:r w:rsidR="006559A6">
        <w:rPr>
          <w:lang w:eastAsia="en-GB"/>
        </w:rPr>
        <w:t xml:space="preserve">asis of a local authority care </w:t>
      </w:r>
      <w:r w:rsidR="00031136">
        <w:rPr>
          <w:lang w:eastAsia="en-GB"/>
        </w:rPr>
        <w:t>order</w:t>
      </w:r>
      <w:r>
        <w:rPr>
          <w:lang w:eastAsia="en-GB"/>
        </w:rPr>
        <w:t>, a child protection plan, child in need plan</w:t>
      </w:r>
      <w:r w:rsidR="00031136">
        <w:rPr>
          <w:lang w:eastAsia="en-GB"/>
        </w:rPr>
        <w:t xml:space="preserve"> or a family support plan as part of Early Help.  Conversely, a larger proportion of children in the maintained sector accessed full-time places on the basis of their physical accommodation placing them at risk of harm or exceptional circumstances around a safeguarding/vulnerable situation.  </w:t>
      </w:r>
    </w:p>
    <w:p w:rsidR="00146035" w:rsidRDefault="00146035" w:rsidP="00146035">
      <w:pPr>
        <w:rPr>
          <w:lang w:eastAsia="en-GB"/>
        </w:rPr>
      </w:pPr>
    </w:p>
    <w:p w:rsidR="00373E9F" w:rsidRPr="00373E9F" w:rsidRDefault="00373E9F" w:rsidP="00373E9F">
      <w:pPr>
        <w:pStyle w:val="Heading3"/>
        <w:rPr>
          <w:b/>
          <w:bCs/>
          <w:lang w:eastAsia="en-GB"/>
        </w:rPr>
      </w:pPr>
      <w:r w:rsidRPr="00373E9F">
        <w:rPr>
          <w:b/>
          <w:bCs/>
          <w:lang w:eastAsia="en-GB"/>
        </w:rPr>
        <w:t>Parental vulnerabilities</w:t>
      </w:r>
    </w:p>
    <w:p w:rsidR="00373E9F" w:rsidRDefault="00373E9F" w:rsidP="00373E9F">
      <w:r>
        <w:t xml:space="preserve">There are </w:t>
      </w:r>
      <w:r w:rsidR="00EF045A">
        <w:t>four</w:t>
      </w:r>
      <w:r>
        <w:t xml:space="preserve"> criteria which </w:t>
      </w:r>
      <w:r w:rsidR="00745D92">
        <w:t xml:space="preserve">are </w:t>
      </w:r>
      <w:r>
        <w:t>covered in this area:</w:t>
      </w:r>
    </w:p>
    <w:p w:rsidR="00373E9F" w:rsidRPr="00362838" w:rsidRDefault="00373E9F" w:rsidP="00373E9F">
      <w:pPr>
        <w:pStyle w:val="bullets"/>
        <w:rPr>
          <w:lang w:eastAsia="en-GB"/>
        </w:rPr>
      </w:pPr>
      <w:r w:rsidRPr="00362838">
        <w:rPr>
          <w:lang w:eastAsia="en-GB"/>
        </w:rPr>
        <w:t>Children whose parents/carers need support as a result of their physical disability, learning disability, mental health problem or illness</w:t>
      </w:r>
      <w:r>
        <w:rPr>
          <w:lang w:eastAsia="en-GB"/>
        </w:rPr>
        <w:t xml:space="preserve"> (132 children)</w:t>
      </w:r>
    </w:p>
    <w:p w:rsidR="00373E9F" w:rsidRPr="00362838" w:rsidRDefault="00373E9F" w:rsidP="00373E9F">
      <w:pPr>
        <w:pStyle w:val="bullets"/>
        <w:rPr>
          <w:lang w:eastAsia="en-GB"/>
        </w:rPr>
      </w:pPr>
      <w:r w:rsidRPr="00362838">
        <w:rPr>
          <w:lang w:eastAsia="en-GB"/>
        </w:rPr>
        <w:t>Children with parents/carers in prison</w:t>
      </w:r>
      <w:r>
        <w:rPr>
          <w:lang w:eastAsia="en-GB"/>
        </w:rPr>
        <w:t xml:space="preserve"> (19 children)</w:t>
      </w:r>
    </w:p>
    <w:p w:rsidR="00373E9F" w:rsidRDefault="00373E9F" w:rsidP="00373E9F">
      <w:pPr>
        <w:pStyle w:val="bullets"/>
        <w:rPr>
          <w:lang w:eastAsia="en-GB"/>
        </w:rPr>
      </w:pPr>
      <w:r w:rsidRPr="00362838">
        <w:rPr>
          <w:lang w:eastAsia="en-GB"/>
        </w:rPr>
        <w:t>Children from families experiencing domestic violence or drug/alcohol abuse</w:t>
      </w:r>
      <w:r w:rsidR="00425145">
        <w:rPr>
          <w:lang w:eastAsia="en-GB"/>
        </w:rPr>
        <w:t xml:space="preserve"> (46</w:t>
      </w:r>
      <w:r>
        <w:rPr>
          <w:lang w:eastAsia="en-GB"/>
        </w:rPr>
        <w:t xml:space="preserve"> children)</w:t>
      </w:r>
    </w:p>
    <w:p w:rsidR="00EF045A" w:rsidRPr="00EF045A" w:rsidRDefault="00EF045A" w:rsidP="00EF045A">
      <w:pPr>
        <w:pStyle w:val="bullets"/>
        <w:rPr>
          <w:lang w:eastAsia="en-GB"/>
        </w:rPr>
      </w:pPr>
      <w:r>
        <w:rPr>
          <w:lang w:eastAsia="en-GB"/>
        </w:rPr>
        <w:t>Children from families with no recourse to public funds</w:t>
      </w:r>
      <w:r w:rsidR="00745D92">
        <w:rPr>
          <w:lang w:eastAsia="en-GB"/>
        </w:rPr>
        <w:t xml:space="preserve"> (24 children).</w:t>
      </w:r>
    </w:p>
    <w:p w:rsidR="00373E9F" w:rsidRDefault="00425145" w:rsidP="00146035">
      <w:pPr>
        <w:rPr>
          <w:lang w:eastAsia="en-GB"/>
        </w:rPr>
      </w:pPr>
      <w:r>
        <w:rPr>
          <w:lang w:eastAsia="en-GB"/>
        </w:rPr>
        <w:t>A total of 221</w:t>
      </w:r>
      <w:r w:rsidR="00373E9F">
        <w:rPr>
          <w:lang w:eastAsia="en-GB"/>
        </w:rPr>
        <w:t xml:space="preserve"> children were funded for full-</w:t>
      </w:r>
      <w:r w:rsidR="00794DB9">
        <w:rPr>
          <w:lang w:eastAsia="en-GB"/>
        </w:rPr>
        <w:t xml:space="preserve">time places based on the additional vulnerabilities they face as a result of their parents’ situations.  </w:t>
      </w:r>
    </w:p>
    <w:p w:rsidR="00794DB9" w:rsidRDefault="00794DB9" w:rsidP="00146035">
      <w:pPr>
        <w:rPr>
          <w:lang w:eastAsia="en-GB"/>
        </w:rPr>
      </w:pPr>
    </w:p>
    <w:p w:rsidR="00794DB9" w:rsidRDefault="00794DB9" w:rsidP="00146035">
      <w:pPr>
        <w:rPr>
          <w:lang w:eastAsia="en-GB"/>
        </w:rPr>
      </w:pPr>
      <w:r>
        <w:rPr>
          <w:lang w:eastAsia="en-GB"/>
        </w:rPr>
        <w:t xml:space="preserve">A larger proportion of children in the PVI sector were funded for full-time places on the basis of their parents having disabilities or illnesses or experiencing domestic violence or drug/alcohol abuse.  </w:t>
      </w:r>
    </w:p>
    <w:p w:rsidR="00373E9F" w:rsidRDefault="00373E9F" w:rsidP="00146035">
      <w:pPr>
        <w:rPr>
          <w:lang w:eastAsia="en-GB"/>
        </w:rPr>
      </w:pPr>
    </w:p>
    <w:p w:rsidR="00EF045A" w:rsidRPr="00EF045A" w:rsidRDefault="00EF045A" w:rsidP="00EF045A">
      <w:pPr>
        <w:pStyle w:val="Heading3"/>
        <w:rPr>
          <w:b/>
          <w:bCs/>
          <w:lang w:eastAsia="en-GB"/>
        </w:rPr>
      </w:pPr>
      <w:r w:rsidRPr="00EF045A">
        <w:rPr>
          <w:b/>
          <w:bCs/>
          <w:lang w:eastAsia="en-GB"/>
        </w:rPr>
        <w:t>Children in the first stages of language development</w:t>
      </w:r>
    </w:p>
    <w:p w:rsidR="00EF045A" w:rsidRDefault="00EF045A" w:rsidP="00EF045A">
      <w:pPr>
        <w:rPr>
          <w:lang w:eastAsia="en-GB"/>
        </w:rPr>
      </w:pPr>
      <w:r>
        <w:rPr>
          <w:lang w:eastAsia="en-GB"/>
        </w:rPr>
        <w:t xml:space="preserve">As </w:t>
      </w:r>
      <w:r w:rsidR="00AB68AE">
        <w:rPr>
          <w:lang w:eastAsia="en-GB"/>
        </w:rPr>
        <w:t xml:space="preserve">mentioned above, this is </w:t>
      </w:r>
      <w:r>
        <w:rPr>
          <w:lang w:eastAsia="en-GB"/>
        </w:rPr>
        <w:t xml:space="preserve">the largest groups of full-time funded places, with </w:t>
      </w:r>
      <w:r w:rsidR="00EC3AE4">
        <w:rPr>
          <w:lang w:eastAsia="en-GB"/>
        </w:rPr>
        <w:t>464</w:t>
      </w:r>
      <w:r>
        <w:rPr>
          <w:lang w:eastAsia="en-GB"/>
        </w:rPr>
        <w:t xml:space="preserve"> children funded under this criteri</w:t>
      </w:r>
      <w:r w:rsidR="003B5A00">
        <w:rPr>
          <w:lang w:eastAsia="en-GB"/>
        </w:rPr>
        <w:t>on.  In the maintained</w:t>
      </w:r>
      <w:r>
        <w:rPr>
          <w:lang w:eastAsia="en-GB"/>
        </w:rPr>
        <w:t xml:space="preserve"> sector, </w:t>
      </w:r>
      <w:r w:rsidR="003B5A00">
        <w:rPr>
          <w:lang w:eastAsia="en-GB"/>
        </w:rPr>
        <w:t>over a third (36.5%)</w:t>
      </w:r>
      <w:r w:rsidR="00AB68AE">
        <w:rPr>
          <w:lang w:eastAsia="en-GB"/>
        </w:rPr>
        <w:t xml:space="preserve"> </w:t>
      </w:r>
      <w:r>
        <w:rPr>
          <w:lang w:eastAsia="en-GB"/>
        </w:rPr>
        <w:t xml:space="preserve">of those funded full-time met </w:t>
      </w:r>
      <w:proofErr w:type="gramStart"/>
      <w:r>
        <w:rPr>
          <w:lang w:eastAsia="en-GB"/>
        </w:rPr>
        <w:t>this crit</w:t>
      </w:r>
      <w:r w:rsidR="003B5A00">
        <w:rPr>
          <w:lang w:eastAsia="en-GB"/>
        </w:rPr>
        <w:t>eria</w:t>
      </w:r>
      <w:proofErr w:type="gramEnd"/>
      <w:r w:rsidR="003B5A00">
        <w:rPr>
          <w:lang w:eastAsia="en-GB"/>
        </w:rPr>
        <w:t>, compared with less than 16</w:t>
      </w:r>
      <w:r>
        <w:rPr>
          <w:lang w:eastAsia="en-GB"/>
        </w:rPr>
        <w:t xml:space="preserve">% in the </w:t>
      </w:r>
      <w:r w:rsidR="003B5A00">
        <w:rPr>
          <w:lang w:eastAsia="en-GB"/>
        </w:rPr>
        <w:t xml:space="preserve">PVI </w:t>
      </w:r>
      <w:r>
        <w:rPr>
          <w:lang w:eastAsia="en-GB"/>
        </w:rPr>
        <w:t xml:space="preserve">sector.  </w:t>
      </w:r>
      <w:r w:rsidR="00AB68AE">
        <w:rPr>
          <w:lang w:eastAsia="en-GB"/>
        </w:rPr>
        <w:t xml:space="preserve">In total, 417 of the children funded under this criterion are in schools. </w:t>
      </w:r>
    </w:p>
    <w:p w:rsidR="00794DB9" w:rsidRDefault="00794DB9" w:rsidP="00146035">
      <w:pPr>
        <w:rPr>
          <w:lang w:eastAsia="en-GB"/>
        </w:rPr>
      </w:pPr>
    </w:p>
    <w:p w:rsidR="003B5A00" w:rsidRPr="003B5A00" w:rsidRDefault="003B5A00" w:rsidP="003B5A00">
      <w:pPr>
        <w:pStyle w:val="Heading3"/>
        <w:rPr>
          <w:b/>
          <w:bCs/>
          <w:lang w:eastAsia="en-GB"/>
        </w:rPr>
      </w:pPr>
      <w:r w:rsidRPr="003B5A00">
        <w:rPr>
          <w:b/>
          <w:bCs/>
          <w:lang w:eastAsia="en-GB"/>
        </w:rPr>
        <w:t>Children funded full-time in the previous term</w:t>
      </w:r>
    </w:p>
    <w:p w:rsidR="007B189C" w:rsidRDefault="003B5A00" w:rsidP="00146035">
      <w:pPr>
        <w:rPr>
          <w:lang w:eastAsia="en-GB"/>
        </w:rPr>
      </w:pPr>
      <w:r>
        <w:rPr>
          <w:lang w:eastAsia="en-GB"/>
        </w:rPr>
        <w:t xml:space="preserve">324 children were funded full-time on the basis of this criterion.  In the PVI sector, this was the case for 43.8% of children in the autumn term, compared with only 16.9% in the maintained sector.  This difference is largely attributable to schools being far more likely than PVIs to take a new cohort of children in each September, rather than having rolling admissions.  </w:t>
      </w:r>
    </w:p>
    <w:p w:rsidR="007B189C" w:rsidRDefault="007B189C" w:rsidP="007B189C">
      <w:pPr>
        <w:rPr>
          <w:lang w:eastAsia="en-GB"/>
        </w:rPr>
      </w:pPr>
      <w:r>
        <w:rPr>
          <w:lang w:eastAsia="en-GB"/>
        </w:rPr>
        <w:br w:type="page"/>
      </w:r>
    </w:p>
    <w:p w:rsidR="003B5A00" w:rsidRDefault="00873E01" w:rsidP="00146035">
      <w:pPr>
        <w:rPr>
          <w:lang w:eastAsia="en-GB"/>
        </w:rPr>
      </w:pPr>
      <w:r>
        <w:rPr>
          <w:lang w:eastAsia="en-GB"/>
        </w:rPr>
        <w:lastRenderedPageBreak/>
        <w:t xml:space="preserve">Whilst the consultation on changes to </w:t>
      </w:r>
      <w:r w:rsidR="00147B85">
        <w:rPr>
          <w:lang w:eastAsia="en-GB"/>
        </w:rPr>
        <w:t xml:space="preserve">full-time places is ongoing, settings have been advised not to allocate new full-time places, which should prevent the impact of removing the funding less significant.  </w:t>
      </w:r>
      <w:r w:rsidR="00AB68AE">
        <w:rPr>
          <w:lang w:eastAsia="en-GB"/>
        </w:rPr>
        <w:t xml:space="preserve">However, if all settings continued to provide funded full-time places at the same proportions of those funded in the autumn term, </w:t>
      </w:r>
      <w:r w:rsidR="006C698A">
        <w:rPr>
          <w:lang w:eastAsia="en-GB"/>
        </w:rPr>
        <w:t>88</w:t>
      </w:r>
      <w:r w:rsidR="00AB68AE">
        <w:rPr>
          <w:lang w:eastAsia="en-GB"/>
        </w:rPr>
        <w:t xml:space="preserve">0 children could be in a funded full-time place at the end of the summer term 2017 and not be old enough to move into reception classes.  If the funding for full-time places then ceases, these children would have their places reduced to part-time places in the autumn term.  </w:t>
      </w:r>
    </w:p>
    <w:p w:rsidR="003B5A00" w:rsidRDefault="003B5A00" w:rsidP="00146035">
      <w:pPr>
        <w:rPr>
          <w:lang w:eastAsia="en-GB"/>
        </w:rPr>
      </w:pPr>
    </w:p>
    <w:p w:rsidR="00E94A86" w:rsidRPr="00794DB9" w:rsidRDefault="00E94A86" w:rsidP="00E94A86">
      <w:pPr>
        <w:pStyle w:val="Heading3"/>
        <w:rPr>
          <w:b/>
          <w:bCs/>
          <w:lang w:eastAsia="en-GB"/>
        </w:rPr>
      </w:pPr>
      <w:r w:rsidRPr="00794DB9">
        <w:rPr>
          <w:b/>
          <w:bCs/>
          <w:lang w:eastAsia="en-GB"/>
        </w:rPr>
        <w:t>Children with disabilities</w:t>
      </w:r>
    </w:p>
    <w:p w:rsidR="00E94A86" w:rsidRDefault="00E94A86" w:rsidP="00E94A86">
      <w:pPr>
        <w:rPr>
          <w:lang w:eastAsia="en-GB"/>
        </w:rPr>
      </w:pPr>
      <w:r>
        <w:rPr>
          <w:lang w:eastAsia="en-GB"/>
        </w:rPr>
        <w:t xml:space="preserve">This is </w:t>
      </w:r>
      <w:r w:rsidR="007B189C">
        <w:rPr>
          <w:lang w:eastAsia="en-GB"/>
        </w:rPr>
        <w:t>the third</w:t>
      </w:r>
      <w:r>
        <w:rPr>
          <w:lang w:eastAsia="en-GB"/>
        </w:rPr>
        <w:t xml:space="preserve"> largest group of full-time funded </w:t>
      </w:r>
      <w:r w:rsidR="007B189C">
        <w:rPr>
          <w:lang w:eastAsia="en-GB"/>
        </w:rPr>
        <w:t>children</w:t>
      </w:r>
      <w:r w:rsidR="00425145">
        <w:rPr>
          <w:lang w:eastAsia="en-GB"/>
        </w:rPr>
        <w:t>, with 292</w:t>
      </w:r>
      <w:r>
        <w:rPr>
          <w:lang w:eastAsia="en-GB"/>
        </w:rPr>
        <w:t xml:space="preserve"> children funded under this criterion.  In the PVI sector, </w:t>
      </w:r>
      <w:r w:rsidR="00425145">
        <w:rPr>
          <w:lang w:eastAsia="en-GB"/>
        </w:rPr>
        <w:t>over a quarter</w:t>
      </w:r>
      <w:r>
        <w:rPr>
          <w:lang w:eastAsia="en-GB"/>
        </w:rPr>
        <w:t xml:space="preserve"> of those funded full-time met this criteria, compared with less than 20% in the maintained sector.  </w:t>
      </w:r>
    </w:p>
    <w:p w:rsidR="00E94A86" w:rsidRPr="00146035" w:rsidRDefault="00E94A86" w:rsidP="00146035">
      <w:pPr>
        <w:rPr>
          <w:lang w:eastAsia="en-GB"/>
        </w:rPr>
      </w:pPr>
    </w:p>
    <w:p w:rsidR="005750FF" w:rsidRPr="003D6188" w:rsidRDefault="005750FF" w:rsidP="005750FF">
      <w:pPr>
        <w:pStyle w:val="Heading3"/>
        <w:rPr>
          <w:b/>
        </w:rPr>
      </w:pPr>
      <w:r w:rsidRPr="003D6188">
        <w:rPr>
          <w:b/>
        </w:rPr>
        <w:t>Deprivation</w:t>
      </w:r>
    </w:p>
    <w:p w:rsidR="005750FF" w:rsidRDefault="005750FF" w:rsidP="005750FF">
      <w:pPr>
        <w:rPr>
          <w:lang w:val="en"/>
        </w:rPr>
      </w:pPr>
      <w:r w:rsidRPr="003D6188">
        <w:t xml:space="preserve">A supplement is paid to the settings for each child who lives in areas of deprivation in the city.  </w:t>
      </w:r>
      <w:r>
        <w:t xml:space="preserve">The measure of deprivation used is the IDACI (Income deprivation affecting children index) profile, where the 0-5% band is the most deprived 5% areas of England, chosen because it </w:t>
      </w:r>
      <w:r>
        <w:rPr>
          <w:lang w:val="en"/>
        </w:rPr>
        <w:t xml:space="preserve">is the only national index of deprivation which focuses directly </w:t>
      </w:r>
      <w:r w:rsidRPr="00273619">
        <w:rPr>
          <w:lang w:val="en"/>
        </w:rPr>
        <w:t xml:space="preserve">on children.  </w:t>
      </w:r>
      <w:r w:rsidR="00273619" w:rsidRPr="00273619">
        <w:rPr>
          <w:lang w:val="en"/>
        </w:rPr>
        <w:t xml:space="preserve">Over half of </w:t>
      </w:r>
      <w:r w:rsidRPr="00273619">
        <w:rPr>
          <w:lang w:val="en"/>
        </w:rPr>
        <w:t xml:space="preserve">all children under five </w:t>
      </w:r>
      <w:r w:rsidR="000E610F">
        <w:rPr>
          <w:lang w:val="en"/>
        </w:rPr>
        <w:t>(56.6</w:t>
      </w:r>
      <w:r w:rsidR="00273619" w:rsidRPr="00273619">
        <w:rPr>
          <w:lang w:val="en"/>
        </w:rPr>
        <w:t xml:space="preserve">%) </w:t>
      </w:r>
      <w:r w:rsidRPr="00273619">
        <w:rPr>
          <w:lang w:val="en"/>
        </w:rPr>
        <w:t>in Birmingham live in the</w:t>
      </w:r>
      <w:r w:rsidR="00FF3EFB">
        <w:rPr>
          <w:lang w:val="en"/>
        </w:rPr>
        <w:t xml:space="preserve"> qualifying deprived </w:t>
      </w:r>
      <w:r w:rsidRPr="00273619">
        <w:rPr>
          <w:lang w:val="en"/>
        </w:rPr>
        <w:t>areas</w:t>
      </w:r>
      <w:r w:rsidR="00FF3EFB">
        <w:rPr>
          <w:lang w:val="en"/>
        </w:rPr>
        <w:t xml:space="preserve"> - </w:t>
      </w:r>
      <w:r>
        <w:rPr>
          <w:lang w:val="en"/>
        </w:rPr>
        <w:t xml:space="preserve">the most deprived 20% in the country.  Children living in these areas are more likely to meet one </w:t>
      </w:r>
      <w:r w:rsidR="00FF3EFB">
        <w:rPr>
          <w:lang w:val="en"/>
        </w:rPr>
        <w:t>of the</w:t>
      </w:r>
      <w:r>
        <w:rPr>
          <w:lang w:val="en"/>
        </w:rPr>
        <w:t xml:space="preserve"> criteria for a full time place.  Therefore, we would expect there to be some correlation between the wards with the highest levels of deprivation and those with the highest take up of full time places.  </w:t>
      </w:r>
    </w:p>
    <w:p w:rsidR="00273619" w:rsidRDefault="00273619" w:rsidP="005750FF">
      <w:pPr>
        <w:rPr>
          <w:lang w:val="en"/>
        </w:rPr>
      </w:pPr>
    </w:p>
    <w:p w:rsidR="00231B32" w:rsidRDefault="00231B32" w:rsidP="005750FF">
      <w:pPr>
        <w:rPr>
          <w:lang w:val="en"/>
        </w:rPr>
      </w:pPr>
      <w:r>
        <w:rPr>
          <w:lang w:val="en"/>
        </w:rPr>
        <w:t>Overall, 11% of children living in the most deprived areas were fun</w:t>
      </w:r>
      <w:r w:rsidR="00495360">
        <w:rPr>
          <w:lang w:val="en"/>
        </w:rPr>
        <w:t>ded full-time, compared with 8.3</w:t>
      </w:r>
      <w:r>
        <w:rPr>
          <w:lang w:val="en"/>
        </w:rPr>
        <w:t xml:space="preserve">% overall.  This picture varies enormously by </w:t>
      </w:r>
      <w:proofErr w:type="gramStart"/>
      <w:r>
        <w:rPr>
          <w:lang w:val="en"/>
        </w:rPr>
        <w:t>ward,</w:t>
      </w:r>
      <w:proofErr w:type="gramEnd"/>
      <w:r>
        <w:rPr>
          <w:lang w:val="en"/>
        </w:rPr>
        <w:t xml:space="preserve"> however, as shown in </w:t>
      </w:r>
      <w:r w:rsidR="00273619">
        <w:rPr>
          <w:lang w:val="en"/>
        </w:rPr>
        <w:t>Appendix Three</w:t>
      </w:r>
      <w:r>
        <w:rPr>
          <w:lang w:val="en"/>
        </w:rPr>
        <w:t xml:space="preserve">, with some wards having a larger proportion of children funded full-time overall than those living in the most deprived areas.  </w:t>
      </w:r>
      <w:r w:rsidR="005D6A3C">
        <w:rPr>
          <w:lang w:val="en"/>
        </w:rPr>
        <w:t xml:space="preserve">Please see Appendix Three for full data.  </w:t>
      </w:r>
    </w:p>
    <w:p w:rsidR="00231B32" w:rsidRDefault="00231B32" w:rsidP="005750FF">
      <w:pPr>
        <w:rPr>
          <w:lang w:val="en"/>
        </w:rPr>
      </w:pPr>
    </w:p>
    <w:p w:rsidR="00495360" w:rsidRDefault="00495360" w:rsidP="005750FF">
      <w:pPr>
        <w:rPr>
          <w:lang w:val="en"/>
        </w:rPr>
      </w:pPr>
      <w:r>
        <w:rPr>
          <w:lang w:val="en"/>
        </w:rPr>
        <w:t xml:space="preserve">A much larger </w:t>
      </w:r>
      <w:r w:rsidR="00231B32">
        <w:rPr>
          <w:lang w:val="en"/>
        </w:rPr>
        <w:t xml:space="preserve">proportion of children living in the most deprived areas </w:t>
      </w:r>
      <w:r>
        <w:rPr>
          <w:lang w:val="en"/>
        </w:rPr>
        <w:t>received full-time funding, compared to the ward overall in six wards:</w:t>
      </w:r>
    </w:p>
    <w:p w:rsidR="00AE46C1" w:rsidRDefault="00AE46C1" w:rsidP="005750FF">
      <w:pPr>
        <w:rPr>
          <w:lang w:val="en"/>
        </w:rPr>
      </w:pPr>
    </w:p>
    <w:p w:rsidR="00495360" w:rsidRDefault="00495360" w:rsidP="005750FF">
      <w:pPr>
        <w:rPr>
          <w:lang w:val="en"/>
        </w:rPr>
        <w:sectPr w:rsidR="00495360" w:rsidSect="000650BD">
          <w:footerReference w:type="even" r:id="rId8"/>
          <w:footerReference w:type="default" r:id="rId9"/>
          <w:footerReference w:type="first" r:id="rId10"/>
          <w:pgSz w:w="11906" w:h="16838" w:code="9"/>
          <w:pgMar w:top="1418" w:right="1418" w:bottom="1418" w:left="1418" w:header="709" w:footer="709" w:gutter="0"/>
          <w:pgNumType w:start="1"/>
          <w:cols w:space="708"/>
          <w:titlePg/>
          <w:docGrid w:linePitch="360"/>
        </w:sectPr>
      </w:pPr>
    </w:p>
    <w:p w:rsidR="00495360" w:rsidRDefault="00495360" w:rsidP="005750FF">
      <w:pPr>
        <w:rPr>
          <w:lang w:val="en"/>
        </w:rPr>
      </w:pPr>
      <w:r>
        <w:rPr>
          <w:lang w:val="en"/>
        </w:rPr>
        <w:lastRenderedPageBreak/>
        <w:t>Aston</w:t>
      </w:r>
    </w:p>
    <w:p w:rsidR="00495360" w:rsidRDefault="00495360" w:rsidP="005750FF">
      <w:pPr>
        <w:rPr>
          <w:lang w:val="en"/>
        </w:rPr>
      </w:pPr>
      <w:r>
        <w:rPr>
          <w:lang w:val="en"/>
        </w:rPr>
        <w:t>Brandwood</w:t>
      </w:r>
    </w:p>
    <w:p w:rsidR="00495360" w:rsidRDefault="00495360" w:rsidP="005750FF">
      <w:pPr>
        <w:rPr>
          <w:lang w:val="en"/>
        </w:rPr>
      </w:pPr>
      <w:r>
        <w:rPr>
          <w:lang w:val="en"/>
        </w:rPr>
        <w:t>Edgbaston</w:t>
      </w:r>
    </w:p>
    <w:p w:rsidR="00495360" w:rsidRDefault="00495360" w:rsidP="005750FF">
      <w:pPr>
        <w:rPr>
          <w:lang w:val="en"/>
        </w:rPr>
      </w:pPr>
      <w:r>
        <w:rPr>
          <w:lang w:val="en"/>
        </w:rPr>
        <w:lastRenderedPageBreak/>
        <w:t>Tyburn</w:t>
      </w:r>
    </w:p>
    <w:p w:rsidR="00495360" w:rsidRDefault="00495360" w:rsidP="005750FF">
      <w:pPr>
        <w:rPr>
          <w:lang w:val="en"/>
        </w:rPr>
      </w:pPr>
      <w:r>
        <w:rPr>
          <w:lang w:val="en"/>
        </w:rPr>
        <w:t>Ladywood</w:t>
      </w:r>
    </w:p>
    <w:p w:rsidR="00495360" w:rsidRDefault="00495360" w:rsidP="005750FF">
      <w:pPr>
        <w:rPr>
          <w:lang w:val="en"/>
        </w:rPr>
      </w:pPr>
      <w:proofErr w:type="gramStart"/>
      <w:r>
        <w:rPr>
          <w:lang w:val="en"/>
        </w:rPr>
        <w:t>South Yardley.</w:t>
      </w:r>
      <w:proofErr w:type="gramEnd"/>
      <w:r>
        <w:rPr>
          <w:lang w:val="en"/>
        </w:rPr>
        <w:t xml:space="preserve"> </w:t>
      </w:r>
    </w:p>
    <w:p w:rsidR="00495360" w:rsidRDefault="00495360" w:rsidP="005750FF">
      <w:pPr>
        <w:rPr>
          <w:lang w:val="en"/>
        </w:rPr>
        <w:sectPr w:rsidR="00495360" w:rsidSect="00495360">
          <w:type w:val="continuous"/>
          <w:pgSz w:w="11906" w:h="16838" w:code="9"/>
          <w:pgMar w:top="1418" w:right="1418" w:bottom="1418" w:left="1418" w:header="709" w:footer="709" w:gutter="0"/>
          <w:pgNumType w:start="0"/>
          <w:cols w:num="2" w:space="708"/>
          <w:titlePg/>
          <w:docGrid w:linePitch="360"/>
        </w:sectPr>
      </w:pPr>
    </w:p>
    <w:p w:rsidR="00495360" w:rsidRDefault="00495360" w:rsidP="005750FF">
      <w:pPr>
        <w:rPr>
          <w:lang w:val="en"/>
        </w:rPr>
      </w:pPr>
    </w:p>
    <w:p w:rsidR="00495360" w:rsidRDefault="00495360" w:rsidP="005750FF">
      <w:pPr>
        <w:rPr>
          <w:lang w:val="en"/>
        </w:rPr>
      </w:pPr>
      <w:r>
        <w:rPr>
          <w:lang w:val="en"/>
        </w:rPr>
        <w:t>On the other hand, a much smaller proportion of children living in the most deprived areas receive</w:t>
      </w:r>
      <w:r w:rsidR="000E610F">
        <w:rPr>
          <w:lang w:val="en"/>
        </w:rPr>
        <w:t>d full-time funding, compared to</w:t>
      </w:r>
      <w:r>
        <w:rPr>
          <w:lang w:val="en"/>
        </w:rPr>
        <w:t xml:space="preserve"> the ward overall in nine wards:</w:t>
      </w:r>
    </w:p>
    <w:p w:rsidR="00AE46C1" w:rsidRDefault="00AE46C1" w:rsidP="005750FF">
      <w:pPr>
        <w:rPr>
          <w:lang w:val="en"/>
        </w:rPr>
      </w:pPr>
    </w:p>
    <w:p w:rsidR="00495360" w:rsidRDefault="00495360" w:rsidP="005750FF">
      <w:pPr>
        <w:rPr>
          <w:lang w:val="en"/>
        </w:rPr>
        <w:sectPr w:rsidR="00495360" w:rsidSect="00495360">
          <w:type w:val="continuous"/>
          <w:pgSz w:w="11906" w:h="16838" w:code="9"/>
          <w:pgMar w:top="1418" w:right="1418" w:bottom="1418" w:left="1418" w:header="709" w:footer="709" w:gutter="0"/>
          <w:pgNumType w:start="0"/>
          <w:cols w:space="708"/>
          <w:titlePg/>
          <w:docGrid w:linePitch="360"/>
        </w:sectPr>
      </w:pPr>
    </w:p>
    <w:p w:rsidR="00495360" w:rsidRDefault="00495360" w:rsidP="005750FF">
      <w:pPr>
        <w:rPr>
          <w:lang w:val="en"/>
        </w:rPr>
      </w:pPr>
      <w:r>
        <w:rPr>
          <w:lang w:val="en"/>
        </w:rPr>
        <w:lastRenderedPageBreak/>
        <w:t>Bordesley Green</w:t>
      </w:r>
    </w:p>
    <w:p w:rsidR="00495360" w:rsidRDefault="00495360" w:rsidP="005750FF">
      <w:pPr>
        <w:rPr>
          <w:lang w:val="en"/>
        </w:rPr>
      </w:pPr>
      <w:r>
        <w:rPr>
          <w:lang w:val="en"/>
        </w:rPr>
        <w:t>Erdington</w:t>
      </w:r>
    </w:p>
    <w:p w:rsidR="00495360" w:rsidRDefault="00495360" w:rsidP="005750FF">
      <w:pPr>
        <w:rPr>
          <w:lang w:val="en"/>
        </w:rPr>
      </w:pPr>
      <w:r>
        <w:rPr>
          <w:lang w:val="en"/>
        </w:rPr>
        <w:t>Longbridge</w:t>
      </w:r>
    </w:p>
    <w:p w:rsidR="00495360" w:rsidRDefault="00495360" w:rsidP="005750FF">
      <w:pPr>
        <w:rPr>
          <w:lang w:val="en"/>
        </w:rPr>
      </w:pPr>
      <w:r>
        <w:rPr>
          <w:lang w:val="en"/>
        </w:rPr>
        <w:t>Northfield</w:t>
      </w:r>
    </w:p>
    <w:p w:rsidR="00495360" w:rsidRDefault="00495360" w:rsidP="005750FF">
      <w:pPr>
        <w:rPr>
          <w:lang w:val="en"/>
        </w:rPr>
      </w:pPr>
      <w:r>
        <w:rPr>
          <w:lang w:val="en"/>
        </w:rPr>
        <w:t>Oscott</w:t>
      </w:r>
    </w:p>
    <w:p w:rsidR="00495360" w:rsidRDefault="00495360" w:rsidP="005750FF">
      <w:pPr>
        <w:rPr>
          <w:lang w:val="en"/>
        </w:rPr>
      </w:pPr>
      <w:r>
        <w:rPr>
          <w:lang w:val="en"/>
        </w:rPr>
        <w:lastRenderedPageBreak/>
        <w:t>Quinton</w:t>
      </w:r>
    </w:p>
    <w:p w:rsidR="00495360" w:rsidRDefault="00495360" w:rsidP="005750FF">
      <w:pPr>
        <w:rPr>
          <w:lang w:val="en"/>
        </w:rPr>
      </w:pPr>
      <w:r>
        <w:rPr>
          <w:lang w:val="en"/>
        </w:rPr>
        <w:t>Selly Oak</w:t>
      </w:r>
    </w:p>
    <w:p w:rsidR="00495360" w:rsidRDefault="00495360" w:rsidP="005750FF">
      <w:pPr>
        <w:rPr>
          <w:lang w:val="en"/>
        </w:rPr>
      </w:pPr>
      <w:r>
        <w:rPr>
          <w:lang w:val="en"/>
        </w:rPr>
        <w:t>Sheldon</w:t>
      </w:r>
    </w:p>
    <w:p w:rsidR="00495360" w:rsidRDefault="00495360" w:rsidP="005750FF">
      <w:pPr>
        <w:rPr>
          <w:lang w:val="en"/>
        </w:rPr>
      </w:pPr>
      <w:proofErr w:type="gramStart"/>
      <w:r>
        <w:rPr>
          <w:lang w:val="en"/>
        </w:rPr>
        <w:t>Sutton Trinity.</w:t>
      </w:r>
      <w:proofErr w:type="gramEnd"/>
      <w:r>
        <w:rPr>
          <w:lang w:val="en"/>
        </w:rPr>
        <w:t xml:space="preserve"> </w:t>
      </w:r>
    </w:p>
    <w:p w:rsidR="00495360" w:rsidRDefault="00495360" w:rsidP="005750FF">
      <w:pPr>
        <w:rPr>
          <w:lang w:val="en"/>
        </w:rPr>
      </w:pPr>
    </w:p>
    <w:p w:rsidR="00495360" w:rsidRDefault="00495360" w:rsidP="005750FF">
      <w:pPr>
        <w:rPr>
          <w:lang w:val="en"/>
        </w:rPr>
        <w:sectPr w:rsidR="00495360" w:rsidSect="00495360">
          <w:type w:val="continuous"/>
          <w:pgSz w:w="11906" w:h="16838" w:code="9"/>
          <w:pgMar w:top="1418" w:right="1418" w:bottom="1418" w:left="1418" w:header="709" w:footer="709" w:gutter="0"/>
          <w:pgNumType w:start="0"/>
          <w:cols w:num="2" w:space="708"/>
          <w:titlePg/>
          <w:docGrid w:linePitch="360"/>
        </w:sectPr>
      </w:pPr>
    </w:p>
    <w:p w:rsidR="00495360" w:rsidRDefault="00495360" w:rsidP="005750FF">
      <w:pPr>
        <w:rPr>
          <w:lang w:val="en"/>
        </w:rPr>
      </w:pPr>
    </w:p>
    <w:p w:rsidR="00231B32" w:rsidRDefault="00231B32" w:rsidP="005750FF">
      <w:pPr>
        <w:rPr>
          <w:lang w:val="en"/>
        </w:rPr>
      </w:pPr>
    </w:p>
    <w:p w:rsidR="0083244A" w:rsidRPr="0083244A" w:rsidRDefault="00647E2A" w:rsidP="0083244A">
      <w:r>
        <w:rPr>
          <w:lang w:val="en"/>
        </w:rPr>
        <w:t xml:space="preserve">This suggests that whilst there is an </w:t>
      </w:r>
      <w:r w:rsidR="004013D7">
        <w:rPr>
          <w:lang w:val="en"/>
        </w:rPr>
        <w:t>overall</w:t>
      </w:r>
      <w:r>
        <w:rPr>
          <w:lang w:val="en"/>
        </w:rPr>
        <w:t xml:space="preserve"> </w:t>
      </w:r>
      <w:r w:rsidR="004013D7">
        <w:rPr>
          <w:lang w:val="en"/>
        </w:rPr>
        <w:t>correlation</w:t>
      </w:r>
      <w:r>
        <w:rPr>
          <w:lang w:val="en"/>
        </w:rPr>
        <w:t xml:space="preserve"> between </w:t>
      </w:r>
      <w:r w:rsidR="00273619">
        <w:rPr>
          <w:lang w:val="en"/>
        </w:rPr>
        <w:t xml:space="preserve">high deprivation levels and high full time </w:t>
      </w:r>
      <w:r>
        <w:rPr>
          <w:lang w:val="en"/>
        </w:rPr>
        <w:t xml:space="preserve">funded places, </w:t>
      </w:r>
      <w:r w:rsidR="00273619">
        <w:rPr>
          <w:lang w:val="en"/>
        </w:rPr>
        <w:t>th</w:t>
      </w:r>
      <w:r>
        <w:rPr>
          <w:lang w:val="en"/>
        </w:rPr>
        <w:t xml:space="preserve">is masks a </w:t>
      </w:r>
      <w:r w:rsidR="005A6BC4">
        <w:rPr>
          <w:lang w:val="en"/>
        </w:rPr>
        <w:t xml:space="preserve">reverse correlation </w:t>
      </w:r>
      <w:r>
        <w:rPr>
          <w:lang w:val="en"/>
        </w:rPr>
        <w:t xml:space="preserve">in some </w:t>
      </w:r>
      <w:r w:rsidR="005A6BC4">
        <w:rPr>
          <w:lang w:val="en"/>
        </w:rPr>
        <w:t xml:space="preserve">wards.  </w:t>
      </w:r>
      <w:r w:rsidR="001F71D5">
        <w:rPr>
          <w:lang w:val="en"/>
        </w:rPr>
        <w:t xml:space="preserve">Although there is only data on the </w:t>
      </w:r>
      <w:r w:rsidR="000E610F">
        <w:rPr>
          <w:lang w:val="en"/>
        </w:rPr>
        <w:t xml:space="preserve">address for the </w:t>
      </w:r>
      <w:r w:rsidR="001F71D5">
        <w:rPr>
          <w:lang w:val="en"/>
        </w:rPr>
        <w:t xml:space="preserve">setting for children in the maintained sector, data is available for both the </w:t>
      </w:r>
      <w:r w:rsidR="00927041">
        <w:rPr>
          <w:lang w:val="en"/>
        </w:rPr>
        <w:t xml:space="preserve">setting and the child’s home postcode in the PVI sector.  </w:t>
      </w:r>
    </w:p>
    <w:p w:rsidR="00054765" w:rsidRDefault="00054765" w:rsidP="00A4686D">
      <w:pPr>
        <w:pStyle w:val="Appendix"/>
        <w:jc w:val="left"/>
        <w:sectPr w:rsidR="00054765" w:rsidSect="00495360">
          <w:type w:val="continuous"/>
          <w:pgSz w:w="11906" w:h="16838" w:code="9"/>
          <w:pgMar w:top="1418" w:right="1418" w:bottom="1418" w:left="1418" w:header="709" w:footer="709" w:gutter="0"/>
          <w:pgNumType w:start="0"/>
          <w:cols w:space="708"/>
          <w:titlePg/>
          <w:docGrid w:linePitch="360"/>
        </w:sectPr>
      </w:pPr>
    </w:p>
    <w:p w:rsidR="007C27E5" w:rsidRDefault="00926479" w:rsidP="00926479">
      <w:pPr>
        <w:pStyle w:val="Appendix"/>
        <w:rPr>
          <w:sz w:val="22"/>
          <w:szCs w:val="22"/>
          <w:lang w:eastAsia="en-GB"/>
        </w:rPr>
      </w:pPr>
      <w:r w:rsidRPr="007C19AF">
        <w:rPr>
          <w:sz w:val="22"/>
          <w:szCs w:val="22"/>
          <w:lang w:eastAsia="en-GB"/>
        </w:rPr>
        <w:lastRenderedPageBreak/>
        <w:t xml:space="preserve">Appendix One:  </w:t>
      </w:r>
      <w:r w:rsidR="007C27E5" w:rsidRPr="007C19AF">
        <w:rPr>
          <w:sz w:val="22"/>
          <w:szCs w:val="22"/>
          <w:lang w:eastAsia="en-GB"/>
        </w:rPr>
        <w:t>Analysis by Ward</w:t>
      </w:r>
    </w:p>
    <w:tbl>
      <w:tblPr>
        <w:tblW w:w="9580" w:type="dxa"/>
        <w:tblInd w:w="93" w:type="dxa"/>
        <w:tblLook w:val="04A0" w:firstRow="1" w:lastRow="0" w:firstColumn="1" w:lastColumn="0" w:noHBand="0" w:noVBand="1"/>
      </w:tblPr>
      <w:tblGrid>
        <w:gridCol w:w="2780"/>
        <w:gridCol w:w="1700"/>
        <w:gridCol w:w="1700"/>
        <w:gridCol w:w="1700"/>
        <w:gridCol w:w="1700"/>
      </w:tblGrid>
      <w:tr w:rsidR="008929F6" w:rsidRPr="005D6A3C" w:rsidTr="007B178E">
        <w:trPr>
          <w:trHeight w:val="900"/>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9F6" w:rsidRPr="005D6A3C" w:rsidRDefault="008929F6" w:rsidP="007B178E">
            <w:pPr>
              <w:rPr>
                <w:rFonts w:eastAsia="Times New Roman" w:cs="Arial"/>
                <w:b/>
                <w:color w:val="000000"/>
                <w:lang w:eastAsia="en-GB"/>
              </w:rPr>
            </w:pPr>
            <w:r w:rsidRPr="005D6A3C">
              <w:rPr>
                <w:rFonts w:eastAsia="Times New Roman" w:cs="Arial"/>
                <w:b/>
                <w:color w:val="000000"/>
                <w:lang w:eastAsia="en-GB"/>
              </w:rPr>
              <w:t>Ward</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929F6" w:rsidRPr="005D6A3C" w:rsidRDefault="008929F6" w:rsidP="003B5A00">
            <w:pPr>
              <w:jc w:val="center"/>
              <w:rPr>
                <w:rFonts w:eastAsia="Times New Roman" w:cs="Arial"/>
                <w:b/>
                <w:color w:val="000000"/>
                <w:lang w:eastAsia="en-GB"/>
              </w:rPr>
            </w:pPr>
            <w:r w:rsidRPr="005D6A3C">
              <w:rPr>
                <w:rFonts w:eastAsia="Times New Roman" w:cs="Arial"/>
                <w:b/>
                <w:color w:val="000000"/>
                <w:lang w:eastAsia="en-GB"/>
              </w:rPr>
              <w:t xml:space="preserve">% EEE children funded FT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929F6" w:rsidRPr="005D6A3C" w:rsidRDefault="008929F6" w:rsidP="007B178E">
            <w:pPr>
              <w:jc w:val="center"/>
              <w:rPr>
                <w:rFonts w:eastAsia="Times New Roman" w:cs="Arial"/>
                <w:b/>
                <w:color w:val="000000"/>
                <w:lang w:eastAsia="en-GB"/>
              </w:rPr>
            </w:pPr>
            <w:r w:rsidRPr="005D6A3C">
              <w:rPr>
                <w:rFonts w:eastAsia="Times New Roman" w:cs="Arial"/>
                <w:b/>
                <w:color w:val="000000"/>
                <w:lang w:eastAsia="en-GB"/>
              </w:rPr>
              <w:t>% all children with a funded FT place</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8929F6" w:rsidRPr="005D6A3C" w:rsidRDefault="008929F6" w:rsidP="007B178E">
            <w:pPr>
              <w:jc w:val="center"/>
              <w:rPr>
                <w:rFonts w:eastAsia="Times New Roman" w:cs="Arial"/>
                <w:b/>
                <w:color w:val="000000"/>
                <w:lang w:eastAsia="en-GB"/>
              </w:rPr>
            </w:pPr>
            <w:r w:rsidRPr="005D6A3C">
              <w:rPr>
                <w:rFonts w:eastAsia="Times New Roman" w:cs="Arial"/>
                <w:b/>
                <w:color w:val="000000"/>
                <w:lang w:eastAsia="en-GB"/>
              </w:rPr>
              <w:t>Overall take-up of EEE</w:t>
            </w:r>
          </w:p>
        </w:tc>
        <w:tc>
          <w:tcPr>
            <w:tcW w:w="170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b/>
                <w:color w:val="000000"/>
              </w:rPr>
            </w:pPr>
            <w:r w:rsidRPr="008929F6">
              <w:rPr>
                <w:rFonts w:cs="Arial"/>
                <w:b/>
                <w:color w:val="000000"/>
              </w:rPr>
              <w:t>Number children with a funded full-time place</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Acocks Green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4.9%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86.8%</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22</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Aston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25.7%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24.2%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94.2%</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16</w:t>
            </w:r>
            <w:r>
              <w:rPr>
                <w:rFonts w:cs="Arial"/>
                <w:color w:val="000000"/>
              </w:rPr>
              <w:t>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Bartley Green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87.1%</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28</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Billesley</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6.6%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80.6%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Bordesley Green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12.6%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10.5%</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83.3%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91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Bournville</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91.6%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0</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Brandwood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9.4%</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95.7%</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37</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Edgbaston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80.6%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24</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Erdington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26.1%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24.6%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94.6%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8</w:t>
            </w:r>
            <w:r>
              <w:rPr>
                <w:rFonts w:cs="Arial"/>
                <w:color w:val="000000"/>
              </w:rPr>
              <w:t>5</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Hall Green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80.2%</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Handsworth Wood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85.0%</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0</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Harborne</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85.0%</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0</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Hodge Hill</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6.5%</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90.3%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35</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Kings Norton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88.5%</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27</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Kingstanding</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9.5%</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95.6%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43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Ladywood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15.4%</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13.1%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41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Longbridge</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89.9%</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32</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Lozells and East Handsworth</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94.3%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17</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Moseley and Kings Heath</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92.4%</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9</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Nechells</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89.0%</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71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Northfield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4.3%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17</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Oscott</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6.5%</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5.4%</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82.9%</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Perry Barr</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85.4%</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Quinton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81.3%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Selly Oak</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82.9%</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15</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Shard End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4.2%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83.1%</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Sheldon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11.3%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88.1%</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31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Soho</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85.7%</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48</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South Yardley</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7.7%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88.1%</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46</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Sparkbrook</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26.4%</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23.3%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88.4%</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15</w:t>
            </w:r>
            <w:r>
              <w:rPr>
                <w:rFonts w:cs="Arial"/>
                <w:color w:val="000000"/>
              </w:rPr>
              <w:t>0</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Springfield</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87.7%</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Stechford and Yardley North</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6.1%</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5.7%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92.6%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26</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Stockland Green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83.3%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Sutton Four Oaks</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0.4%</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0.3%</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91.8%</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Sutton New Hall</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0.9%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105.0%</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2</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Sutton Trinity</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4.6%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4.2%</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90.4%</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13</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Sutton Vesey</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3.7%</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101.6%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9</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Tyburn</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17.9%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16.5%</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92.0%</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62</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Washwood Heath</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20.6%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18.6%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90.5%</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14</w:t>
            </w:r>
            <w:r>
              <w:rPr>
                <w:rFonts w:cs="Arial"/>
                <w:color w:val="000000"/>
              </w:rPr>
              <w:t>7</w:t>
            </w:r>
          </w:p>
        </w:tc>
      </w:tr>
      <w:tr w:rsidR="008929F6" w:rsidRPr="00A2090A"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A2090A" w:rsidRDefault="008929F6" w:rsidP="007B178E">
            <w:pPr>
              <w:rPr>
                <w:rFonts w:eastAsia="Times New Roman" w:cs="Arial"/>
                <w:color w:val="000000"/>
                <w:lang w:eastAsia="en-GB"/>
              </w:rPr>
            </w:pPr>
            <w:r w:rsidRPr="00A2090A">
              <w:rPr>
                <w:rFonts w:eastAsia="Times New Roman" w:cs="Arial"/>
                <w:color w:val="000000"/>
                <w:lang w:eastAsia="en-GB"/>
              </w:rPr>
              <w:t>Weoley</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16.9%</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16.6%</w:t>
            </w:r>
          </w:p>
        </w:tc>
        <w:tc>
          <w:tcPr>
            <w:tcW w:w="1700" w:type="dxa"/>
            <w:tcBorders>
              <w:top w:val="nil"/>
              <w:left w:val="nil"/>
              <w:bottom w:val="single" w:sz="4" w:space="0" w:color="auto"/>
              <w:right w:val="single" w:sz="4" w:space="0" w:color="auto"/>
            </w:tcBorders>
            <w:shd w:val="clear" w:color="auto" w:fill="auto"/>
            <w:vAlign w:val="center"/>
            <w:hideMark/>
          </w:tcPr>
          <w:p w:rsidR="008929F6" w:rsidRDefault="008929F6">
            <w:pPr>
              <w:jc w:val="center"/>
              <w:rPr>
                <w:rFonts w:cs="Arial"/>
                <w:color w:val="000000"/>
              </w:rPr>
            </w:pPr>
            <w:r>
              <w:rPr>
                <w:rFonts w:cs="Arial"/>
                <w:color w:val="000000"/>
              </w:rPr>
              <w:t>98.3%</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color w:val="000000"/>
              </w:rPr>
            </w:pPr>
            <w:r w:rsidRPr="008929F6">
              <w:rPr>
                <w:rFonts w:cs="Arial"/>
                <w:color w:val="000000"/>
              </w:rPr>
              <w:t>68</w:t>
            </w:r>
          </w:p>
        </w:tc>
      </w:tr>
      <w:tr w:rsidR="008929F6" w:rsidRPr="008929F6" w:rsidTr="007B178E">
        <w:trPr>
          <w:trHeight w:val="300"/>
        </w:trPr>
        <w:tc>
          <w:tcPr>
            <w:tcW w:w="2780" w:type="dxa"/>
            <w:tcBorders>
              <w:top w:val="nil"/>
              <w:left w:val="single" w:sz="4" w:space="0" w:color="auto"/>
              <w:bottom w:val="single" w:sz="4" w:space="0" w:color="auto"/>
              <w:right w:val="single" w:sz="4" w:space="0" w:color="auto"/>
            </w:tcBorders>
            <w:shd w:val="clear" w:color="auto" w:fill="auto"/>
            <w:noWrap/>
            <w:vAlign w:val="bottom"/>
            <w:hideMark/>
          </w:tcPr>
          <w:p w:rsidR="008929F6" w:rsidRPr="008929F6" w:rsidRDefault="008929F6" w:rsidP="007B178E">
            <w:pPr>
              <w:rPr>
                <w:rFonts w:eastAsia="Times New Roman" w:cs="Arial"/>
                <w:b/>
                <w:color w:val="000000"/>
                <w:lang w:eastAsia="en-GB"/>
              </w:rPr>
            </w:pPr>
            <w:r w:rsidRPr="008929F6">
              <w:rPr>
                <w:rFonts w:eastAsia="Times New Roman" w:cs="Arial"/>
                <w:b/>
                <w:color w:val="000000"/>
                <w:lang w:eastAsia="en-GB"/>
              </w:rPr>
              <w:t>Total</w:t>
            </w:r>
          </w:p>
        </w:tc>
        <w:tc>
          <w:tcPr>
            <w:tcW w:w="1700" w:type="dxa"/>
            <w:tcBorders>
              <w:top w:val="nil"/>
              <w:left w:val="nil"/>
              <w:bottom w:val="single" w:sz="4" w:space="0" w:color="auto"/>
              <w:right w:val="single" w:sz="4" w:space="0" w:color="auto"/>
            </w:tcBorders>
            <w:shd w:val="clear" w:color="auto" w:fill="auto"/>
            <w:vAlign w:val="center"/>
            <w:hideMark/>
          </w:tcPr>
          <w:p w:rsidR="008929F6" w:rsidRPr="008929F6" w:rsidRDefault="008929F6">
            <w:pPr>
              <w:jc w:val="center"/>
              <w:rPr>
                <w:rFonts w:cs="Arial"/>
                <w:b/>
                <w:color w:val="000000"/>
              </w:rPr>
            </w:pPr>
            <w:r w:rsidRPr="008929F6">
              <w:rPr>
                <w:rFonts w:cs="Arial"/>
                <w:b/>
                <w:color w:val="000000"/>
              </w:rPr>
              <w:t>9.4%</w:t>
            </w:r>
          </w:p>
        </w:tc>
        <w:tc>
          <w:tcPr>
            <w:tcW w:w="1700" w:type="dxa"/>
            <w:tcBorders>
              <w:top w:val="nil"/>
              <w:left w:val="nil"/>
              <w:bottom w:val="single" w:sz="4" w:space="0" w:color="auto"/>
              <w:right w:val="single" w:sz="4" w:space="0" w:color="auto"/>
            </w:tcBorders>
            <w:shd w:val="clear" w:color="auto" w:fill="auto"/>
            <w:vAlign w:val="center"/>
            <w:hideMark/>
          </w:tcPr>
          <w:p w:rsidR="008929F6" w:rsidRPr="008929F6" w:rsidRDefault="008929F6">
            <w:pPr>
              <w:jc w:val="center"/>
              <w:rPr>
                <w:rFonts w:cs="Arial"/>
                <w:b/>
                <w:color w:val="000000"/>
              </w:rPr>
            </w:pPr>
            <w:r w:rsidRPr="008929F6">
              <w:rPr>
                <w:rFonts w:cs="Arial"/>
                <w:b/>
                <w:color w:val="000000"/>
              </w:rPr>
              <w:t>8.3%</w:t>
            </w:r>
          </w:p>
        </w:tc>
        <w:tc>
          <w:tcPr>
            <w:tcW w:w="1700" w:type="dxa"/>
            <w:tcBorders>
              <w:top w:val="nil"/>
              <w:left w:val="nil"/>
              <w:bottom w:val="single" w:sz="4" w:space="0" w:color="auto"/>
              <w:right w:val="single" w:sz="4" w:space="0" w:color="auto"/>
            </w:tcBorders>
            <w:shd w:val="clear" w:color="auto" w:fill="auto"/>
            <w:vAlign w:val="center"/>
            <w:hideMark/>
          </w:tcPr>
          <w:p w:rsidR="008929F6" w:rsidRPr="008929F6" w:rsidRDefault="008929F6">
            <w:pPr>
              <w:jc w:val="center"/>
              <w:rPr>
                <w:rFonts w:cs="Arial"/>
                <w:b/>
                <w:color w:val="000000"/>
              </w:rPr>
            </w:pPr>
            <w:r w:rsidRPr="008929F6">
              <w:rPr>
                <w:rFonts w:cs="Arial"/>
                <w:b/>
                <w:color w:val="000000"/>
              </w:rPr>
              <w:t>88.6%</w:t>
            </w:r>
          </w:p>
        </w:tc>
        <w:tc>
          <w:tcPr>
            <w:tcW w:w="1700" w:type="dxa"/>
            <w:tcBorders>
              <w:top w:val="nil"/>
              <w:left w:val="nil"/>
              <w:bottom w:val="single" w:sz="4" w:space="0" w:color="auto"/>
              <w:right w:val="single" w:sz="4" w:space="0" w:color="auto"/>
            </w:tcBorders>
            <w:shd w:val="clear" w:color="auto" w:fill="DAEEF3" w:themeFill="accent5" w:themeFillTint="33"/>
            <w:vAlign w:val="center"/>
            <w:hideMark/>
          </w:tcPr>
          <w:p w:rsidR="008929F6" w:rsidRPr="008929F6" w:rsidRDefault="008929F6">
            <w:pPr>
              <w:jc w:val="center"/>
              <w:rPr>
                <w:rFonts w:cs="Arial"/>
                <w:b/>
                <w:color w:val="000000"/>
              </w:rPr>
            </w:pPr>
            <w:r w:rsidRPr="008929F6">
              <w:rPr>
                <w:rFonts w:cs="Arial"/>
                <w:b/>
                <w:color w:val="000000"/>
              </w:rPr>
              <w:t>1465</w:t>
            </w:r>
          </w:p>
        </w:tc>
      </w:tr>
    </w:tbl>
    <w:p w:rsidR="00C7756E" w:rsidRDefault="00C7756E" w:rsidP="002052CE"/>
    <w:p w:rsidR="00F354E6" w:rsidRDefault="005750FF" w:rsidP="005750FF">
      <w:pPr>
        <w:pStyle w:val="Appendix"/>
        <w:rPr>
          <w:sz w:val="22"/>
        </w:rPr>
      </w:pPr>
      <w:r>
        <w:rPr>
          <w:sz w:val="22"/>
        </w:rPr>
        <w:t>Appendix T</w:t>
      </w:r>
      <w:r w:rsidR="00D57C77">
        <w:rPr>
          <w:sz w:val="22"/>
        </w:rPr>
        <w:t xml:space="preserve">wo:  </w:t>
      </w:r>
      <w:r w:rsidR="00F354E6">
        <w:rPr>
          <w:sz w:val="22"/>
        </w:rPr>
        <w:t>School funding of full-time places</w:t>
      </w:r>
    </w:p>
    <w:tbl>
      <w:tblPr>
        <w:tblW w:w="9513" w:type="dxa"/>
        <w:tblInd w:w="93" w:type="dxa"/>
        <w:tblLayout w:type="fixed"/>
        <w:tblLook w:val="04A0" w:firstRow="1" w:lastRow="0" w:firstColumn="1" w:lastColumn="0" w:noHBand="0" w:noVBand="1"/>
      </w:tblPr>
      <w:tblGrid>
        <w:gridCol w:w="2850"/>
        <w:gridCol w:w="1332"/>
        <w:gridCol w:w="1333"/>
        <w:gridCol w:w="1332"/>
        <w:gridCol w:w="1333"/>
        <w:gridCol w:w="1333"/>
      </w:tblGrid>
      <w:tr w:rsidR="00F834B5" w:rsidRPr="00F834B5" w:rsidTr="00F834B5">
        <w:trPr>
          <w:trHeight w:val="510"/>
        </w:trPr>
        <w:tc>
          <w:tcPr>
            <w:tcW w:w="2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34B5" w:rsidRPr="00F834B5" w:rsidRDefault="00F834B5" w:rsidP="00F834B5">
            <w:pPr>
              <w:rPr>
                <w:rFonts w:eastAsia="Times New Roman" w:cs="Arial"/>
                <w:b/>
                <w:color w:val="000000"/>
                <w:sz w:val="20"/>
                <w:szCs w:val="20"/>
                <w:lang w:eastAsia="en-GB"/>
              </w:rPr>
            </w:pPr>
            <w:r w:rsidRPr="00F834B5">
              <w:rPr>
                <w:rFonts w:eastAsia="Times New Roman" w:cs="Arial"/>
                <w:b/>
                <w:color w:val="000000"/>
                <w:sz w:val="20"/>
                <w:szCs w:val="20"/>
                <w:lang w:eastAsia="en-GB"/>
              </w:rPr>
              <w:t>Ward</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Pr>
                <w:rFonts w:eastAsia="Times New Roman" w:cs="Arial"/>
                <w:b/>
                <w:color w:val="000000"/>
                <w:sz w:val="20"/>
                <w:szCs w:val="20"/>
                <w:lang w:eastAsia="en-GB"/>
              </w:rPr>
              <w:t xml:space="preserve">No.FT </w:t>
            </w:r>
            <w:r w:rsidRPr="00F834B5">
              <w:rPr>
                <w:rFonts w:eastAsia="Times New Roman" w:cs="Arial"/>
                <w:b/>
                <w:color w:val="000000"/>
                <w:sz w:val="20"/>
                <w:szCs w:val="20"/>
                <w:lang w:eastAsia="en-GB"/>
              </w:rPr>
              <w:t>places funded by setting</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Pr>
                <w:rFonts w:eastAsia="Times New Roman" w:cs="Arial"/>
                <w:b/>
                <w:color w:val="000000"/>
                <w:sz w:val="20"/>
                <w:szCs w:val="20"/>
                <w:lang w:eastAsia="en-GB"/>
              </w:rPr>
              <w:t>Total no.</w:t>
            </w:r>
            <w:r w:rsidRPr="00F834B5">
              <w:rPr>
                <w:rFonts w:eastAsia="Times New Roman" w:cs="Arial"/>
                <w:b/>
                <w:color w:val="000000"/>
                <w:sz w:val="20"/>
                <w:szCs w:val="20"/>
                <w:lang w:eastAsia="en-GB"/>
              </w:rPr>
              <w:t xml:space="preserve"> EEE funded children</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 children funded FT by school</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 xml:space="preserve">% </w:t>
            </w:r>
            <w:r>
              <w:rPr>
                <w:rFonts w:eastAsia="Times New Roman" w:cs="Arial"/>
                <w:b/>
                <w:color w:val="000000"/>
                <w:sz w:val="20"/>
                <w:szCs w:val="20"/>
                <w:lang w:eastAsia="en-GB"/>
              </w:rPr>
              <w:t>children funded FT by council</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 xml:space="preserve">Overall % </w:t>
            </w:r>
            <w:r>
              <w:rPr>
                <w:rFonts w:eastAsia="Times New Roman" w:cs="Arial"/>
                <w:b/>
                <w:color w:val="000000"/>
                <w:sz w:val="20"/>
                <w:szCs w:val="20"/>
                <w:lang w:eastAsia="en-GB"/>
              </w:rPr>
              <w:t>funded</w:t>
            </w:r>
            <w:r w:rsidRPr="00F834B5">
              <w:rPr>
                <w:rFonts w:eastAsia="Times New Roman" w:cs="Arial"/>
                <w:b/>
                <w:color w:val="000000"/>
                <w:sz w:val="20"/>
                <w:szCs w:val="20"/>
                <w:lang w:eastAsia="en-GB"/>
              </w:rPr>
              <w:t xml:space="preserve"> FT </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Acocks Green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393</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8.14%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5.60%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13.74%</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Aston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638</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5.49%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25.71%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31.19%</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Bartley Green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337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8.31%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8.31%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16.62%</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Billesley</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349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4.87%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6.59%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11.46%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Bordesley Green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721</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-0.28%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12.62%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12.34%</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Bournville</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284</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7.39%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7.39%</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Brandwood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377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0.53%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9.81%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10.34%</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Edgbaston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220</w:t>
            </w:r>
          </w:p>
        </w:tc>
        <w:tc>
          <w:tcPr>
            <w:tcW w:w="1332" w:type="dxa"/>
            <w:tcBorders>
              <w:top w:val="nil"/>
              <w:left w:val="nil"/>
              <w:bottom w:val="single" w:sz="4" w:space="0" w:color="auto"/>
              <w:right w:val="single" w:sz="4" w:space="0" w:color="auto"/>
            </w:tcBorders>
            <w:shd w:val="clear" w:color="auto" w:fill="auto"/>
            <w:noWrap/>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noWrap/>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10.91%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10.91%</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Erdington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330</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-17.88%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26.06%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8.18%</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Hall Green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279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0.72%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Handsworth Wood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357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16.53%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16.53%</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Harborne</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300</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Hodge Hill</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486</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6.58%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7.20%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13.79%</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Kings Norton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339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3.54%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7.96%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11.50%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Kingstanding</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451</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16.19%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9.53%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25.72%</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Ladywood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267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8.99%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15.36%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24.34%</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Longbridge</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321</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0.62%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9.97%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10.59%</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Lozells and East Handsworth</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607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1.81%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2.80%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4.61%</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Moseley and Kings Heath</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292</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3.42%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3.08%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6.51%</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Nechells</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652</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10.89%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11.20%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Northfield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338</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26.04%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5.03%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31.07%</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Oscott</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325</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6.46%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18.46%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Perry Barr</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315</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0.95%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1.27%</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Quinton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339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19.76%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3.83%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23.60%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Selly Oak</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174</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7.47%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8.62%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16.09%</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Shard End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418</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8.37%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5.02%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13.40%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Sheldon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274</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11.31%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10.22%</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Soho</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539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7.42%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8.91%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16.33%</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South Yardley</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526</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31.56%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8.75%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40.30%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Sparkbrook</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573</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-1.40%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26.35%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24.96%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Springfield</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591</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1.86%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1.86%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Stechford and Yardley North</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104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426</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24.41%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6.10%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30.52%</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Stockland Green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349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3.15%</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Sutton Four Oaks</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267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0.37%</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Sutton New Hall</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212</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11.32%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0.94%</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12.26%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Sutton Trinity</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283</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0.35%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4.59%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4.95%</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Sutton Vesey</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250</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0.80%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3.60%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4.40%</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Tyburn</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43</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347</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12.39%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17.87%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30.26%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Washwood Heath</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36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720</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5.00%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20.56%</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25.56%</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color w:val="000000"/>
                <w:sz w:val="20"/>
                <w:szCs w:val="20"/>
                <w:lang w:eastAsia="en-GB"/>
              </w:rPr>
            </w:pPr>
            <w:r w:rsidRPr="00F834B5">
              <w:rPr>
                <w:rFonts w:eastAsia="Times New Roman" w:cs="Arial"/>
                <w:color w:val="000000"/>
                <w:sz w:val="20"/>
                <w:szCs w:val="20"/>
                <w:lang w:eastAsia="en-GB"/>
              </w:rPr>
              <w:t>Weoley</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2</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403</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0.50%</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16.87%</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color w:val="000000"/>
                <w:sz w:val="20"/>
                <w:szCs w:val="20"/>
                <w:lang w:eastAsia="en-GB"/>
              </w:rPr>
            </w:pPr>
            <w:r w:rsidRPr="00F834B5">
              <w:rPr>
                <w:rFonts w:eastAsia="Times New Roman" w:cs="Arial"/>
                <w:color w:val="000000"/>
                <w:sz w:val="20"/>
                <w:szCs w:val="20"/>
                <w:lang w:eastAsia="en-GB"/>
              </w:rPr>
              <w:t>17.37%</w:t>
            </w:r>
          </w:p>
        </w:tc>
      </w:tr>
      <w:tr w:rsidR="00F834B5" w:rsidRPr="00F834B5" w:rsidTr="00F834B5">
        <w:trPr>
          <w:trHeight w:val="30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F834B5" w:rsidRPr="00F834B5" w:rsidRDefault="00F834B5" w:rsidP="00F834B5">
            <w:pPr>
              <w:rPr>
                <w:rFonts w:eastAsia="Times New Roman" w:cs="Arial"/>
                <w:b/>
                <w:color w:val="000000"/>
                <w:sz w:val="20"/>
                <w:szCs w:val="20"/>
                <w:lang w:eastAsia="en-GB"/>
              </w:rPr>
            </w:pPr>
            <w:r w:rsidRPr="00F834B5">
              <w:rPr>
                <w:rFonts w:eastAsia="Times New Roman" w:cs="Arial"/>
                <w:b/>
                <w:color w:val="000000"/>
                <w:sz w:val="20"/>
                <w:szCs w:val="20"/>
                <w:lang w:eastAsia="en-GB"/>
              </w:rPr>
              <w:t>Total</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979</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15669</w:t>
            </w:r>
          </w:p>
        </w:tc>
        <w:tc>
          <w:tcPr>
            <w:tcW w:w="1332"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6.25%</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9.38%</w:t>
            </w:r>
          </w:p>
        </w:tc>
        <w:tc>
          <w:tcPr>
            <w:tcW w:w="1333" w:type="dxa"/>
            <w:tcBorders>
              <w:top w:val="nil"/>
              <w:left w:val="nil"/>
              <w:bottom w:val="single" w:sz="4" w:space="0" w:color="auto"/>
              <w:right w:val="single" w:sz="4" w:space="0" w:color="auto"/>
            </w:tcBorders>
            <w:shd w:val="clear" w:color="auto" w:fill="auto"/>
            <w:vAlign w:val="center"/>
            <w:hideMark/>
          </w:tcPr>
          <w:p w:rsidR="00F834B5" w:rsidRPr="00F834B5" w:rsidRDefault="00F834B5" w:rsidP="00F834B5">
            <w:pPr>
              <w:jc w:val="center"/>
              <w:rPr>
                <w:rFonts w:eastAsia="Times New Roman" w:cs="Arial"/>
                <w:b/>
                <w:color w:val="000000"/>
                <w:sz w:val="20"/>
                <w:szCs w:val="20"/>
                <w:lang w:eastAsia="en-GB"/>
              </w:rPr>
            </w:pPr>
            <w:r w:rsidRPr="00F834B5">
              <w:rPr>
                <w:rFonts w:eastAsia="Times New Roman" w:cs="Arial"/>
                <w:b/>
                <w:color w:val="000000"/>
                <w:sz w:val="20"/>
                <w:szCs w:val="20"/>
                <w:lang w:eastAsia="en-GB"/>
              </w:rPr>
              <w:t>15.62%</w:t>
            </w:r>
          </w:p>
        </w:tc>
      </w:tr>
    </w:tbl>
    <w:p w:rsidR="00F354E6" w:rsidRDefault="00F834B5" w:rsidP="00F354E6">
      <w:r>
        <w:rPr>
          <w:sz w:val="16"/>
          <w:szCs w:val="16"/>
        </w:rPr>
        <w:t xml:space="preserve">* </w:t>
      </w:r>
      <w:r w:rsidRPr="003B5A00">
        <w:rPr>
          <w:sz w:val="16"/>
          <w:szCs w:val="16"/>
        </w:rPr>
        <w:t>The data for Erdington has been supplied inaccurately by one school. The data has not been corrected here, as we cannot ascertain the correct number.</w:t>
      </w:r>
      <w:r w:rsidR="00F354E6">
        <w:br w:type="page"/>
      </w:r>
    </w:p>
    <w:p w:rsidR="00D57C77" w:rsidRDefault="00F354E6" w:rsidP="005750FF">
      <w:pPr>
        <w:pStyle w:val="Appendix"/>
        <w:rPr>
          <w:sz w:val="22"/>
        </w:rPr>
      </w:pPr>
      <w:r>
        <w:rPr>
          <w:sz w:val="22"/>
        </w:rPr>
        <w:lastRenderedPageBreak/>
        <w:t xml:space="preserve">Appendix Three:  </w:t>
      </w:r>
      <w:r w:rsidR="00D57C77">
        <w:rPr>
          <w:sz w:val="22"/>
        </w:rPr>
        <w:t>Full-time places by criteria</w:t>
      </w:r>
    </w:p>
    <w:tbl>
      <w:tblPr>
        <w:tblW w:w="9229" w:type="dxa"/>
        <w:tblInd w:w="93" w:type="dxa"/>
        <w:tblLayout w:type="fixed"/>
        <w:tblLook w:val="04A0" w:firstRow="1" w:lastRow="0" w:firstColumn="1" w:lastColumn="0" w:noHBand="0" w:noVBand="1"/>
      </w:tblPr>
      <w:tblGrid>
        <w:gridCol w:w="2992"/>
        <w:gridCol w:w="1039"/>
        <w:gridCol w:w="1040"/>
        <w:gridCol w:w="1039"/>
        <w:gridCol w:w="1040"/>
        <w:gridCol w:w="1039"/>
        <w:gridCol w:w="1040"/>
      </w:tblGrid>
      <w:tr w:rsidR="00D57C77" w:rsidRPr="005D6A3C" w:rsidTr="00D57C77">
        <w:trPr>
          <w:trHeight w:val="765"/>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C77" w:rsidRPr="005D6A3C" w:rsidRDefault="00D57C77" w:rsidP="005D6A3C">
            <w:pPr>
              <w:rPr>
                <w:rFonts w:eastAsia="Times New Roman" w:cs="Arial"/>
                <w:b/>
                <w:color w:val="000000"/>
                <w:sz w:val="20"/>
                <w:szCs w:val="20"/>
                <w:lang w:eastAsia="en-GB"/>
              </w:rPr>
            </w:pPr>
            <w:r w:rsidRPr="005D6A3C">
              <w:rPr>
                <w:rFonts w:eastAsia="Times New Roman" w:cs="Arial"/>
                <w:b/>
                <w:color w:val="000000"/>
                <w:sz w:val="20"/>
                <w:szCs w:val="20"/>
                <w:lang w:eastAsia="en-GB"/>
              </w:rPr>
              <w:t>Criteria for full-time place</w:t>
            </w:r>
          </w:p>
        </w:tc>
        <w:tc>
          <w:tcPr>
            <w:tcW w:w="103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PVI number of children</w:t>
            </w:r>
          </w:p>
        </w:tc>
        <w:tc>
          <w:tcPr>
            <w:tcW w:w="104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Maintained number of children</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Total number of children</w:t>
            </w:r>
          </w:p>
        </w:tc>
        <w:tc>
          <w:tcPr>
            <w:tcW w:w="104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Proportion PVI children</w:t>
            </w:r>
          </w:p>
        </w:tc>
        <w:tc>
          <w:tcPr>
            <w:tcW w:w="1039"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Proportion LA children</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57C77" w:rsidRPr="005D6A3C" w:rsidRDefault="00D57C77" w:rsidP="00D57C77">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Proportion of all children</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with a child protection plan, or who are subject to a section 47 child protection investigation or a section 17 children in need plan</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23</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42</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65</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7.7%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3.7%</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4.5%</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925935" w:rsidRPr="005D6A3C" w:rsidRDefault="00925935" w:rsidP="00C12249">
            <w:pPr>
              <w:rPr>
                <w:rFonts w:eastAsia="Times New Roman" w:cs="Arial"/>
                <w:color w:val="000000"/>
                <w:sz w:val="20"/>
                <w:szCs w:val="20"/>
                <w:lang w:eastAsia="en-GB"/>
              </w:rPr>
            </w:pPr>
            <w:r w:rsidRPr="005D6A3C">
              <w:rPr>
                <w:rFonts w:eastAsia="Times New Roman" w:cs="Arial"/>
                <w:color w:val="000000"/>
                <w:sz w:val="20"/>
                <w:szCs w:val="20"/>
                <w:lang w:eastAsia="en-GB"/>
              </w:rPr>
              <w:t xml:space="preserve">Children in local authority care </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11</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28</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39</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3.7%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2.5%</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2.7%</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identified as in need of early help through a family common assessment framework (fCAF) and have in place a family support plan</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28</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79</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107</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9.4%</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6.9%</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7.4%</w:t>
            </w:r>
          </w:p>
        </w:tc>
      </w:tr>
      <w:tr w:rsidR="00925935" w:rsidRPr="005D6A3C" w:rsidTr="00925935">
        <w:trPr>
          <w:trHeight w:val="102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with diagnosed disabilities who have (or are in the process of getting) an education, health and care plan and/or are in receipt of Disability Living Allowance. Or children who have been referred to or by a child development centre or equivalent specialist education agency</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76</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216</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292</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25.4%</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18.9%</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20.3%</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from families where their physical accommodation places the child at risk of harm</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0</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25</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25</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0.0%</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2.2%</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1.7%</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whose parents/carers need support as a result of their physical disability, learning disability, mental health problem or illness</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33</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99</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132</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11.0%</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8.7%</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9.2%</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with parents/carers in prison</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2</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17</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19</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0.7%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1.5%</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1.3%</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from families experiencing domestic violence or drug/alcohol abuse</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14</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32</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46</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4.7%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2.8%</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3.2%</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who are in the first stages of language development</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47</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417</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464</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15.7%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36.5%</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32.2%</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from families with no recourse to public funds</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5</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19</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24</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1.7%</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1.7%</w:t>
            </w:r>
          </w:p>
        </w:tc>
      </w:tr>
      <w:tr w:rsidR="00925935" w:rsidRPr="005D6A3C" w:rsidTr="00925935">
        <w:trPr>
          <w:trHeight w:val="510"/>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Children in exceptional circumstances around a safeguarding/vulnerable situation need</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3</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66</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69</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1.0%</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5.8%</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4.8%</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vAlign w:val="bottom"/>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Child was funded for a full time place in the Summer 2016 term</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131</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193</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324</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43.8%</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16.9%</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22.5%</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Total number of criteria-funded children</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373</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1233</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1606</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124.7%</w:t>
            </w: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108.1%</w:t>
            </w: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111.5%</w:t>
            </w:r>
          </w:p>
        </w:tc>
      </w:tr>
      <w:tr w:rsidR="00925935" w:rsidRPr="005D6A3C" w:rsidTr="00925935">
        <w:trPr>
          <w:trHeight w:val="255"/>
        </w:trPr>
        <w:tc>
          <w:tcPr>
            <w:tcW w:w="2992" w:type="dxa"/>
            <w:tcBorders>
              <w:top w:val="nil"/>
              <w:left w:val="single" w:sz="4" w:space="0" w:color="auto"/>
              <w:bottom w:val="single" w:sz="4" w:space="0" w:color="auto"/>
              <w:right w:val="single" w:sz="4" w:space="0" w:color="auto"/>
            </w:tcBorders>
            <w:shd w:val="clear" w:color="auto" w:fill="auto"/>
            <w:hideMark/>
          </w:tcPr>
          <w:p w:rsidR="00925935" w:rsidRPr="005D6A3C" w:rsidRDefault="00925935" w:rsidP="00D57C77">
            <w:pPr>
              <w:rPr>
                <w:rFonts w:eastAsia="Times New Roman" w:cs="Arial"/>
                <w:color w:val="000000"/>
                <w:sz w:val="20"/>
                <w:szCs w:val="20"/>
                <w:lang w:eastAsia="en-GB"/>
              </w:rPr>
            </w:pPr>
            <w:r w:rsidRPr="005D6A3C">
              <w:rPr>
                <w:rFonts w:eastAsia="Times New Roman" w:cs="Arial"/>
                <w:color w:val="000000"/>
                <w:sz w:val="20"/>
                <w:szCs w:val="20"/>
                <w:lang w:eastAsia="en-GB"/>
              </w:rPr>
              <w:t>Total number of children funded full-time</w:t>
            </w:r>
          </w:p>
        </w:tc>
        <w:tc>
          <w:tcPr>
            <w:tcW w:w="1039"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r>
              <w:rPr>
                <w:rFonts w:cs="Arial"/>
                <w:color w:val="000000"/>
                <w:sz w:val="20"/>
                <w:szCs w:val="20"/>
              </w:rPr>
              <w:t>299</w:t>
            </w:r>
          </w:p>
        </w:tc>
        <w:tc>
          <w:tcPr>
            <w:tcW w:w="1040"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r>
              <w:rPr>
                <w:rFonts w:cs="Arial"/>
                <w:color w:val="000000"/>
                <w:sz w:val="20"/>
                <w:szCs w:val="20"/>
              </w:rPr>
              <w:t>1141</w:t>
            </w:r>
          </w:p>
        </w:tc>
        <w:tc>
          <w:tcPr>
            <w:tcW w:w="1039"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r>
              <w:rPr>
                <w:rFonts w:cs="Arial"/>
                <w:color w:val="000000"/>
                <w:sz w:val="20"/>
                <w:szCs w:val="20"/>
              </w:rPr>
              <w:t>1440</w:t>
            </w:r>
          </w:p>
        </w:tc>
        <w:tc>
          <w:tcPr>
            <w:tcW w:w="1040" w:type="dxa"/>
            <w:tcBorders>
              <w:top w:val="nil"/>
              <w:left w:val="nil"/>
              <w:bottom w:val="single" w:sz="4" w:space="0" w:color="auto"/>
              <w:right w:val="single" w:sz="4" w:space="0" w:color="auto"/>
            </w:tcBorders>
            <w:shd w:val="clear" w:color="auto" w:fill="DBE5F1" w:themeFill="accent1" w:themeFillTint="33"/>
            <w:vAlign w:val="center"/>
            <w:hideMark/>
          </w:tcPr>
          <w:p w:rsidR="00925935" w:rsidRDefault="00925935" w:rsidP="00925935">
            <w:pPr>
              <w:jc w:val="center"/>
              <w:rPr>
                <w:rFonts w:cs="Arial"/>
                <w:color w:val="000000"/>
                <w:sz w:val="20"/>
                <w:szCs w:val="20"/>
              </w:rPr>
            </w:pPr>
          </w:p>
        </w:tc>
        <w:tc>
          <w:tcPr>
            <w:tcW w:w="1039" w:type="dxa"/>
            <w:tcBorders>
              <w:top w:val="nil"/>
              <w:left w:val="nil"/>
              <w:bottom w:val="single" w:sz="4" w:space="0" w:color="auto"/>
              <w:right w:val="single" w:sz="4" w:space="0" w:color="auto"/>
            </w:tcBorders>
            <w:shd w:val="clear" w:color="auto" w:fill="FDE9D9" w:themeFill="accent6" w:themeFillTint="33"/>
            <w:vAlign w:val="center"/>
            <w:hideMark/>
          </w:tcPr>
          <w:p w:rsidR="00925935" w:rsidRDefault="00925935" w:rsidP="00925935">
            <w:pPr>
              <w:jc w:val="center"/>
              <w:rPr>
                <w:rFonts w:cs="Arial"/>
                <w:color w:val="000000"/>
                <w:sz w:val="20"/>
                <w:szCs w:val="20"/>
              </w:rPr>
            </w:pPr>
          </w:p>
        </w:tc>
        <w:tc>
          <w:tcPr>
            <w:tcW w:w="1040" w:type="dxa"/>
            <w:tcBorders>
              <w:top w:val="nil"/>
              <w:left w:val="nil"/>
              <w:bottom w:val="single" w:sz="4" w:space="0" w:color="auto"/>
              <w:right w:val="single" w:sz="4" w:space="0" w:color="auto"/>
            </w:tcBorders>
            <w:shd w:val="clear" w:color="auto" w:fill="auto"/>
            <w:vAlign w:val="center"/>
            <w:hideMark/>
          </w:tcPr>
          <w:p w:rsidR="00925935" w:rsidRDefault="00925935" w:rsidP="00925935">
            <w:pPr>
              <w:jc w:val="center"/>
              <w:rPr>
                <w:rFonts w:cs="Arial"/>
                <w:color w:val="000000"/>
                <w:sz w:val="20"/>
                <w:szCs w:val="20"/>
              </w:rPr>
            </w:pPr>
          </w:p>
        </w:tc>
      </w:tr>
    </w:tbl>
    <w:p w:rsidR="00D57C77" w:rsidRDefault="00D57C77">
      <w:pPr>
        <w:rPr>
          <w:rFonts w:cs="Arial"/>
          <w:b/>
          <w:bCs/>
          <w:i/>
          <w:iCs/>
          <w:szCs w:val="28"/>
        </w:rPr>
      </w:pPr>
      <w:r>
        <w:br w:type="page"/>
      </w:r>
    </w:p>
    <w:p w:rsidR="005750FF" w:rsidRPr="002052CE" w:rsidRDefault="00F354E6" w:rsidP="005750FF">
      <w:pPr>
        <w:pStyle w:val="Appendix"/>
        <w:rPr>
          <w:sz w:val="22"/>
        </w:rPr>
      </w:pPr>
      <w:r>
        <w:rPr>
          <w:sz w:val="22"/>
        </w:rPr>
        <w:lastRenderedPageBreak/>
        <w:t>Appendix Four</w:t>
      </w:r>
      <w:r w:rsidR="005750FF" w:rsidRPr="002052CE">
        <w:rPr>
          <w:sz w:val="22"/>
        </w:rPr>
        <w:t>: Analysis by deprivation</w:t>
      </w:r>
    </w:p>
    <w:tbl>
      <w:tblPr>
        <w:tblW w:w="9193" w:type="dxa"/>
        <w:tblInd w:w="93" w:type="dxa"/>
        <w:tblLayout w:type="fixed"/>
        <w:tblLook w:val="04A0" w:firstRow="1" w:lastRow="0" w:firstColumn="1" w:lastColumn="0" w:noHBand="0" w:noVBand="1"/>
      </w:tblPr>
      <w:tblGrid>
        <w:gridCol w:w="2190"/>
        <w:gridCol w:w="1000"/>
        <w:gridCol w:w="1000"/>
        <w:gridCol w:w="1001"/>
        <w:gridCol w:w="1000"/>
        <w:gridCol w:w="1001"/>
        <w:gridCol w:w="1000"/>
        <w:gridCol w:w="1001"/>
      </w:tblGrid>
      <w:tr w:rsidR="005D6A3C" w:rsidRPr="005D6A3C" w:rsidTr="005D6A3C">
        <w:trPr>
          <w:trHeight w:val="2100"/>
          <w:tblHeader/>
        </w:trPr>
        <w:tc>
          <w:tcPr>
            <w:tcW w:w="21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A3C" w:rsidRPr="005D6A3C" w:rsidRDefault="005D6A3C" w:rsidP="000E610F">
            <w:pPr>
              <w:rPr>
                <w:rFonts w:eastAsia="Times New Roman" w:cs="Arial"/>
                <w:b/>
                <w:color w:val="000000"/>
                <w:sz w:val="20"/>
                <w:szCs w:val="20"/>
                <w:lang w:eastAsia="en-GB"/>
              </w:rPr>
            </w:pPr>
            <w:r w:rsidRPr="005D6A3C">
              <w:rPr>
                <w:rFonts w:eastAsia="Times New Roman" w:cs="Arial"/>
                <w:b/>
                <w:color w:val="000000"/>
                <w:sz w:val="20"/>
                <w:szCs w:val="20"/>
                <w:lang w:eastAsia="en-GB"/>
              </w:rPr>
              <w:t>Ward</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Number children with a funded full-time place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Number of all children</w:t>
            </w:r>
          </w:p>
        </w:tc>
        <w:tc>
          <w:tcPr>
            <w:tcW w:w="1001"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 all children with a FT place</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Number of children with a FT place in 20% most deprived areas</w:t>
            </w:r>
          </w:p>
        </w:tc>
        <w:tc>
          <w:tcPr>
            <w:tcW w:w="1001"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Number of children living in 20% most deprived areas</w:t>
            </w:r>
          </w:p>
        </w:tc>
        <w:tc>
          <w:tcPr>
            <w:tcW w:w="1000" w:type="dxa"/>
            <w:tcBorders>
              <w:top w:val="single" w:sz="4" w:space="0" w:color="auto"/>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Proportion of children living in 20% most deprived areas funded full-time</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5D6A3C" w:rsidRPr="005D6A3C" w:rsidRDefault="005D6A3C" w:rsidP="005D6A3C">
            <w:pPr>
              <w:jc w:val="center"/>
              <w:rPr>
                <w:rFonts w:eastAsia="Times New Roman" w:cs="Arial"/>
                <w:b/>
                <w:color w:val="000000"/>
                <w:sz w:val="20"/>
                <w:szCs w:val="20"/>
                <w:lang w:eastAsia="en-GB"/>
              </w:rPr>
            </w:pPr>
            <w:r w:rsidRPr="005D6A3C">
              <w:rPr>
                <w:rFonts w:eastAsia="Times New Roman" w:cs="Arial"/>
                <w:b/>
                <w:color w:val="000000"/>
                <w:sz w:val="20"/>
                <w:szCs w:val="20"/>
                <w:lang w:eastAsia="en-GB"/>
              </w:rPr>
              <w:t>Difference in proportion funded full-time living in 20% most deprived areas and all children</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Acocks Green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22</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453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4.9%</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241</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1.8%</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Aston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164</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677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24.2%</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165</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558</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29.6%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Bartley Green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28</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387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7.2%</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28</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317</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8.8%</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Billesley</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23</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5.3%</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19</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260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7.3%</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Bordesley Green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866</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10.5%</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34</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520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6.5%</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Bournville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310</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72</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Brandwood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37</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394</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9.4%</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196</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20.4%</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11.0%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Edgbaston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273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8.8%</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33.3%</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Erdington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86</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349</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4.5%</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-20.2%</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Hall Green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348</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25</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-0.6%</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Handsworth Wood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420</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Harborne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353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Hodge Hill</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35</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538</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6.5%</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19</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286</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0.1%</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Kings Norton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27</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383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229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-0.1%</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Kingstanding</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472</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9.1%</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46</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436</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10.6%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1.4%</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Ladywood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13.1%</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37</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Longbridge</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32</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357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12</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257</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4.7%</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Lozells and East Handsworth</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644</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543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-0.2%</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Moseley and Kings Heath</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316</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2.8%</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48</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-0.8%</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Nechells</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733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9.7%</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82</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674</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12.2%</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Northfield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395</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206</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Oscott</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392</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5.4%</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62</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-5.4%</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Perry Barr</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369</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0.8%</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91</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3.3%</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Quinton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417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190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Selly Oak</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15</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210</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7.1%</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15</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-7.1%</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Shard End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503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4.2%</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489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4.3%</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0.1%</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Sheldon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311</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10.0%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153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-5.4%</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Soho</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48</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629</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49</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549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8.9%</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South Yardley</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46</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597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7.7%</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49</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394</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12.4%</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4.7%</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Sparkbrook</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151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648</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23.3%</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143</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621</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23.0%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Springfield</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674</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217</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0.5%</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-1.2%</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Stechford and Yardley North</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26</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460</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5.7%</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22</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257</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8.6%</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2.9%</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Stockland Green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419</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225</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Sutton Four Oaks</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291</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0.3%</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Sutton New Hall</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202</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1.0%</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lastRenderedPageBreak/>
              <w:t>Sutton Trinity</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313</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4.2%</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21</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-4.2%</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Sutton Vesey</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9</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246</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3.7%</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n/a</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Tyburn</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62</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377</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16.4%</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62</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24.9%</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Washwood Heath</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148</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796</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18.6%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139</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697</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19.9%</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1.3%</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Weoley</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68</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410</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16.6%</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50</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293</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17.1%</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0.5%</w:t>
            </w:r>
          </w:p>
        </w:tc>
      </w:tr>
      <w:tr w:rsidR="005D6A3C" w:rsidRPr="005D6A3C" w:rsidTr="005D6A3C">
        <w:trPr>
          <w:trHeight w:val="300"/>
        </w:trPr>
        <w:tc>
          <w:tcPr>
            <w:tcW w:w="2190" w:type="dxa"/>
            <w:tcBorders>
              <w:top w:val="nil"/>
              <w:left w:val="single" w:sz="4" w:space="0" w:color="auto"/>
              <w:bottom w:val="single" w:sz="4" w:space="0" w:color="auto"/>
              <w:right w:val="single" w:sz="4" w:space="0" w:color="auto"/>
            </w:tcBorders>
            <w:shd w:val="clear" w:color="auto" w:fill="auto"/>
            <w:noWrap/>
            <w:vAlign w:val="bottom"/>
            <w:hideMark/>
          </w:tcPr>
          <w:p w:rsidR="005D6A3C" w:rsidRPr="005D6A3C" w:rsidRDefault="005D6A3C" w:rsidP="005D6A3C">
            <w:pPr>
              <w:rPr>
                <w:rFonts w:eastAsia="Times New Roman" w:cs="Arial"/>
                <w:color w:val="000000"/>
                <w:sz w:val="20"/>
                <w:szCs w:val="20"/>
                <w:lang w:eastAsia="en-GB"/>
              </w:rPr>
            </w:pPr>
            <w:r w:rsidRPr="005D6A3C">
              <w:rPr>
                <w:rFonts w:eastAsia="Times New Roman" w:cs="Arial"/>
                <w:color w:val="000000"/>
                <w:sz w:val="20"/>
                <w:szCs w:val="20"/>
                <w:lang w:eastAsia="en-GB"/>
              </w:rPr>
              <w:t>Total</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1469</w:t>
            </w:r>
          </w:p>
        </w:tc>
        <w:tc>
          <w:tcPr>
            <w:tcW w:w="1000"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17678</w:t>
            </w:r>
          </w:p>
        </w:tc>
        <w:tc>
          <w:tcPr>
            <w:tcW w:w="1001" w:type="dxa"/>
            <w:tcBorders>
              <w:top w:val="nil"/>
              <w:left w:val="nil"/>
              <w:bottom w:val="single" w:sz="4" w:space="0" w:color="auto"/>
              <w:right w:val="single" w:sz="4" w:space="0" w:color="auto"/>
            </w:tcBorders>
            <w:shd w:val="clear" w:color="auto" w:fill="DBE5F1" w:themeFill="accent1"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8.3%</w:t>
            </w:r>
          </w:p>
        </w:tc>
        <w:tc>
          <w:tcPr>
            <w:tcW w:w="1000" w:type="dxa"/>
            <w:tcBorders>
              <w:top w:val="nil"/>
              <w:left w:val="nil"/>
              <w:bottom w:val="single" w:sz="4" w:space="0" w:color="auto"/>
              <w:right w:val="single" w:sz="4" w:space="0" w:color="auto"/>
            </w:tcBorders>
            <w:shd w:val="clear" w:color="auto" w:fill="FDE9D9" w:themeFill="accent6" w:themeFillTint="33"/>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1106</w:t>
            </w:r>
          </w:p>
        </w:tc>
        <w:tc>
          <w:tcPr>
            <w:tcW w:w="1001"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10039</w:t>
            </w:r>
          </w:p>
        </w:tc>
        <w:tc>
          <w:tcPr>
            <w:tcW w:w="1000" w:type="dxa"/>
            <w:tcBorders>
              <w:top w:val="nil"/>
              <w:left w:val="nil"/>
              <w:bottom w:val="single" w:sz="4" w:space="0" w:color="auto"/>
              <w:right w:val="single" w:sz="4" w:space="0" w:color="auto"/>
            </w:tcBorders>
            <w:shd w:val="clear" w:color="auto" w:fill="FDE9D9" w:themeFill="accent6" w:themeFillTint="33"/>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11.0%</w:t>
            </w:r>
          </w:p>
        </w:tc>
        <w:tc>
          <w:tcPr>
            <w:tcW w:w="1001" w:type="dxa"/>
            <w:tcBorders>
              <w:top w:val="nil"/>
              <w:left w:val="nil"/>
              <w:bottom w:val="single" w:sz="4" w:space="0" w:color="auto"/>
              <w:right w:val="single" w:sz="4" w:space="0" w:color="auto"/>
            </w:tcBorders>
            <w:shd w:val="clear" w:color="auto" w:fill="auto"/>
            <w:noWrap/>
            <w:vAlign w:val="center"/>
            <w:hideMark/>
          </w:tcPr>
          <w:p w:rsidR="005D6A3C" w:rsidRPr="005D6A3C" w:rsidRDefault="005D6A3C" w:rsidP="005D6A3C">
            <w:pPr>
              <w:jc w:val="center"/>
              <w:rPr>
                <w:rFonts w:eastAsia="Times New Roman" w:cs="Arial"/>
                <w:color w:val="000000"/>
                <w:sz w:val="20"/>
                <w:szCs w:val="20"/>
                <w:lang w:eastAsia="en-GB"/>
              </w:rPr>
            </w:pPr>
            <w:r w:rsidRPr="005D6A3C">
              <w:rPr>
                <w:rFonts w:eastAsia="Times New Roman" w:cs="Arial"/>
                <w:color w:val="000000"/>
                <w:sz w:val="20"/>
                <w:szCs w:val="20"/>
                <w:lang w:eastAsia="en-GB"/>
              </w:rPr>
              <w:t>2.7%</w:t>
            </w:r>
          </w:p>
        </w:tc>
      </w:tr>
    </w:tbl>
    <w:p w:rsidR="005750FF" w:rsidRPr="00730287" w:rsidRDefault="005750FF" w:rsidP="005D6A3C">
      <w:pPr>
        <w:pStyle w:val="Appendix"/>
      </w:pPr>
    </w:p>
    <w:sectPr w:rsidR="005750FF" w:rsidRPr="00730287" w:rsidSect="00054765">
      <w:pgSz w:w="11906" w:h="16838" w:code="9"/>
      <w:pgMar w:top="1021" w:right="1418" w:bottom="1021"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E3" w:rsidRDefault="004130E3">
      <w:r>
        <w:separator/>
      </w:r>
    </w:p>
  </w:endnote>
  <w:endnote w:type="continuationSeparator" w:id="0">
    <w:p w:rsidR="004130E3" w:rsidRDefault="0041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E3" w:rsidRDefault="004130E3" w:rsidP="001B5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130E3" w:rsidRDefault="004130E3" w:rsidP="001B543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0E3" w:rsidRDefault="004130E3" w:rsidP="001B54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3C21">
      <w:rPr>
        <w:rStyle w:val="PageNumber"/>
        <w:noProof/>
      </w:rPr>
      <w:t>4</w:t>
    </w:r>
    <w:r>
      <w:rPr>
        <w:rStyle w:val="PageNumber"/>
      </w:rPr>
      <w:fldChar w:fldCharType="end"/>
    </w:r>
  </w:p>
  <w:p w:rsidR="004130E3" w:rsidRPr="001B5432" w:rsidRDefault="004130E3" w:rsidP="001B5432">
    <w:pPr>
      <w:pStyle w:val="Footer"/>
      <w:ind w:right="360"/>
      <w:rPr>
        <w:sz w:val="20"/>
        <w:szCs w:val="20"/>
      </w:rPr>
    </w:pPr>
    <w:r w:rsidRPr="001B5432">
      <w:rPr>
        <w:sz w:val="20"/>
        <w:szCs w:val="20"/>
        <w:lang w:val="en-US"/>
      </w:rPr>
      <w:fldChar w:fldCharType="begin"/>
    </w:r>
    <w:r w:rsidRPr="001B5432">
      <w:rPr>
        <w:sz w:val="20"/>
        <w:szCs w:val="20"/>
        <w:lang w:val="en-US"/>
      </w:rPr>
      <w:instrText xml:space="preserve"> FILENAME \p </w:instrText>
    </w:r>
    <w:r w:rsidRPr="001B5432">
      <w:rPr>
        <w:sz w:val="20"/>
        <w:szCs w:val="20"/>
        <w:lang w:val="en-US"/>
      </w:rPr>
      <w:fldChar w:fldCharType="separate"/>
    </w:r>
    <w:r w:rsidR="00AB4A02">
      <w:rPr>
        <w:noProof/>
        <w:sz w:val="20"/>
        <w:szCs w:val="20"/>
        <w:lang w:val="en-US"/>
      </w:rPr>
      <w:t>\\SVWCCG109\HomeShare\CYPF\BCCECENL\Data files\Full-time places data report 2017.docx</w:t>
    </w:r>
    <w:r w:rsidRPr="001B5432">
      <w:rPr>
        <w:sz w:val="20"/>
        <w:szCs w:val="20"/>
        <w:lang w:val="en-US"/>
      </w:rPr>
      <w:fldChar w:fldCharType="end"/>
    </w:r>
    <w:r>
      <w:rPr>
        <w:sz w:val="20"/>
        <w:szCs w:val="20"/>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78284"/>
      <w:docPartObj>
        <w:docPartGallery w:val="Page Numbers (Bottom of Page)"/>
        <w:docPartUnique/>
      </w:docPartObj>
    </w:sdtPr>
    <w:sdtEndPr>
      <w:rPr>
        <w:noProof/>
      </w:rPr>
    </w:sdtEndPr>
    <w:sdtContent>
      <w:p w:rsidR="00AB4A02" w:rsidRDefault="00AB4A02">
        <w:pPr>
          <w:pStyle w:val="Footer"/>
          <w:jc w:val="right"/>
        </w:pPr>
        <w:r>
          <w:fldChar w:fldCharType="begin"/>
        </w:r>
        <w:r>
          <w:instrText xml:space="preserve"> PAGE   \* MERGEFORMAT </w:instrText>
        </w:r>
        <w:r>
          <w:fldChar w:fldCharType="separate"/>
        </w:r>
        <w:r w:rsidR="00DB3C21">
          <w:rPr>
            <w:noProof/>
          </w:rPr>
          <w:t>1</w:t>
        </w:r>
        <w:r>
          <w:rPr>
            <w:noProof/>
          </w:rPr>
          <w:fldChar w:fldCharType="end"/>
        </w:r>
      </w:p>
    </w:sdtContent>
  </w:sdt>
  <w:p w:rsidR="00AB4A02" w:rsidRDefault="00AB4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E3" w:rsidRDefault="004130E3">
      <w:r>
        <w:separator/>
      </w:r>
    </w:p>
  </w:footnote>
  <w:footnote w:type="continuationSeparator" w:id="0">
    <w:p w:rsidR="004130E3" w:rsidRDefault="00413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81FBE"/>
    <w:multiLevelType w:val="hybridMultilevel"/>
    <w:tmpl w:val="D262A684"/>
    <w:lvl w:ilvl="0" w:tplc="7DE8A60A">
      <w:start w:val="1"/>
      <w:numFmt w:val="decimal"/>
      <w:pStyle w:val="numbers"/>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3C610936"/>
    <w:multiLevelType w:val="hybridMultilevel"/>
    <w:tmpl w:val="092A0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5D4300"/>
    <w:multiLevelType w:val="hybridMultilevel"/>
    <w:tmpl w:val="3892806A"/>
    <w:lvl w:ilvl="0" w:tplc="11ECD358">
      <w:start w:val="1"/>
      <w:numFmt w:val="decimal"/>
      <w:lvlText w:val="%1."/>
      <w:lvlJc w:val="left"/>
      <w:pPr>
        <w:tabs>
          <w:tab w:val="num" w:pos="360"/>
        </w:tabs>
        <w:ind w:left="360" w:hanging="360"/>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31D2D2A"/>
    <w:multiLevelType w:val="hybridMultilevel"/>
    <w:tmpl w:val="FF6A1210"/>
    <w:lvl w:ilvl="0" w:tplc="5CCED4F2">
      <w:start w:val="1"/>
      <w:numFmt w:val="bullet"/>
      <w:pStyle w:val="bullets"/>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87"/>
    <w:rsid w:val="0000693A"/>
    <w:rsid w:val="00027C0F"/>
    <w:rsid w:val="00031136"/>
    <w:rsid w:val="00033BC7"/>
    <w:rsid w:val="00053581"/>
    <w:rsid w:val="00054765"/>
    <w:rsid w:val="0005702B"/>
    <w:rsid w:val="000650BD"/>
    <w:rsid w:val="000752CE"/>
    <w:rsid w:val="000759CD"/>
    <w:rsid w:val="00083535"/>
    <w:rsid w:val="000A0A5A"/>
    <w:rsid w:val="000B1828"/>
    <w:rsid w:val="000C0329"/>
    <w:rsid w:val="000D47ED"/>
    <w:rsid w:val="000D6C2E"/>
    <w:rsid w:val="000E4C95"/>
    <w:rsid w:val="000E4EB5"/>
    <w:rsid w:val="000E5BF1"/>
    <w:rsid w:val="000E610F"/>
    <w:rsid w:val="000F62EF"/>
    <w:rsid w:val="00107E47"/>
    <w:rsid w:val="001261AC"/>
    <w:rsid w:val="00136F92"/>
    <w:rsid w:val="00146035"/>
    <w:rsid w:val="00147B85"/>
    <w:rsid w:val="001641D0"/>
    <w:rsid w:val="0017209C"/>
    <w:rsid w:val="001866AB"/>
    <w:rsid w:val="001B5432"/>
    <w:rsid w:val="001B6579"/>
    <w:rsid w:val="001D5142"/>
    <w:rsid w:val="001E2447"/>
    <w:rsid w:val="001F2ABD"/>
    <w:rsid w:val="001F543B"/>
    <w:rsid w:val="001F71D5"/>
    <w:rsid w:val="002052CE"/>
    <w:rsid w:val="00231B32"/>
    <w:rsid w:val="00232BE7"/>
    <w:rsid w:val="00245223"/>
    <w:rsid w:val="00246261"/>
    <w:rsid w:val="00246F71"/>
    <w:rsid w:val="002561CB"/>
    <w:rsid w:val="002615E5"/>
    <w:rsid w:val="002674DE"/>
    <w:rsid w:val="00273619"/>
    <w:rsid w:val="00281A36"/>
    <w:rsid w:val="002A1F4D"/>
    <w:rsid w:val="002C6D99"/>
    <w:rsid w:val="002D3C34"/>
    <w:rsid w:val="002D5200"/>
    <w:rsid w:val="002E3A03"/>
    <w:rsid w:val="002F3344"/>
    <w:rsid w:val="002F3C60"/>
    <w:rsid w:val="003038EB"/>
    <w:rsid w:val="00311382"/>
    <w:rsid w:val="0031285E"/>
    <w:rsid w:val="00353201"/>
    <w:rsid w:val="00362838"/>
    <w:rsid w:val="00373E9F"/>
    <w:rsid w:val="00393867"/>
    <w:rsid w:val="003A0F33"/>
    <w:rsid w:val="003A1DA2"/>
    <w:rsid w:val="003A3AED"/>
    <w:rsid w:val="003A7067"/>
    <w:rsid w:val="003B5A00"/>
    <w:rsid w:val="003C285B"/>
    <w:rsid w:val="003C49C2"/>
    <w:rsid w:val="003D183C"/>
    <w:rsid w:val="003D6188"/>
    <w:rsid w:val="003D6A27"/>
    <w:rsid w:val="003E47DB"/>
    <w:rsid w:val="004013D7"/>
    <w:rsid w:val="004130E3"/>
    <w:rsid w:val="004175CF"/>
    <w:rsid w:val="00425145"/>
    <w:rsid w:val="004304EE"/>
    <w:rsid w:val="004435B7"/>
    <w:rsid w:val="004526FC"/>
    <w:rsid w:val="004542FB"/>
    <w:rsid w:val="004555C9"/>
    <w:rsid w:val="0046039A"/>
    <w:rsid w:val="004753A8"/>
    <w:rsid w:val="0047595C"/>
    <w:rsid w:val="0049083C"/>
    <w:rsid w:val="00495360"/>
    <w:rsid w:val="004A07C6"/>
    <w:rsid w:val="004B2095"/>
    <w:rsid w:val="004B3EFB"/>
    <w:rsid w:val="004C5183"/>
    <w:rsid w:val="004D0420"/>
    <w:rsid w:val="004E2552"/>
    <w:rsid w:val="004E2B3C"/>
    <w:rsid w:val="004F7BBB"/>
    <w:rsid w:val="00501CBF"/>
    <w:rsid w:val="0051576C"/>
    <w:rsid w:val="00515996"/>
    <w:rsid w:val="00527A4D"/>
    <w:rsid w:val="005374B6"/>
    <w:rsid w:val="00566AD0"/>
    <w:rsid w:val="00567683"/>
    <w:rsid w:val="00571573"/>
    <w:rsid w:val="005750FF"/>
    <w:rsid w:val="005878F5"/>
    <w:rsid w:val="005926A7"/>
    <w:rsid w:val="005A16A0"/>
    <w:rsid w:val="005A269E"/>
    <w:rsid w:val="005A6BC4"/>
    <w:rsid w:val="005C368B"/>
    <w:rsid w:val="005D6A3C"/>
    <w:rsid w:val="005E2630"/>
    <w:rsid w:val="005E708A"/>
    <w:rsid w:val="005F1025"/>
    <w:rsid w:val="006041FC"/>
    <w:rsid w:val="006135E5"/>
    <w:rsid w:val="00616A4B"/>
    <w:rsid w:val="0062161D"/>
    <w:rsid w:val="006316B2"/>
    <w:rsid w:val="00635FDC"/>
    <w:rsid w:val="00647E2A"/>
    <w:rsid w:val="00652A98"/>
    <w:rsid w:val="006559A6"/>
    <w:rsid w:val="006566EF"/>
    <w:rsid w:val="0065781F"/>
    <w:rsid w:val="006A67FF"/>
    <w:rsid w:val="006B0F9C"/>
    <w:rsid w:val="006C698A"/>
    <w:rsid w:val="006D6675"/>
    <w:rsid w:val="006F2774"/>
    <w:rsid w:val="006F4B98"/>
    <w:rsid w:val="00707E52"/>
    <w:rsid w:val="00730287"/>
    <w:rsid w:val="00745D92"/>
    <w:rsid w:val="00750495"/>
    <w:rsid w:val="0076143B"/>
    <w:rsid w:val="00763666"/>
    <w:rsid w:val="0077149D"/>
    <w:rsid w:val="007744FC"/>
    <w:rsid w:val="00784C58"/>
    <w:rsid w:val="00790F9F"/>
    <w:rsid w:val="00794DB9"/>
    <w:rsid w:val="007A28AE"/>
    <w:rsid w:val="007B178E"/>
    <w:rsid w:val="007B189C"/>
    <w:rsid w:val="007C19AF"/>
    <w:rsid w:val="007C27E5"/>
    <w:rsid w:val="007C38C2"/>
    <w:rsid w:val="007E19A2"/>
    <w:rsid w:val="007E5C67"/>
    <w:rsid w:val="007E7FC8"/>
    <w:rsid w:val="007F3E69"/>
    <w:rsid w:val="007F6A60"/>
    <w:rsid w:val="0080134D"/>
    <w:rsid w:val="008076EE"/>
    <w:rsid w:val="008131C6"/>
    <w:rsid w:val="008168AD"/>
    <w:rsid w:val="008206E4"/>
    <w:rsid w:val="0082774D"/>
    <w:rsid w:val="008317DA"/>
    <w:rsid w:val="00831A00"/>
    <w:rsid w:val="0083244A"/>
    <w:rsid w:val="00846E10"/>
    <w:rsid w:val="00856B98"/>
    <w:rsid w:val="0087082E"/>
    <w:rsid w:val="00872F63"/>
    <w:rsid w:val="00873E01"/>
    <w:rsid w:val="00890CA2"/>
    <w:rsid w:val="008929F6"/>
    <w:rsid w:val="00893460"/>
    <w:rsid w:val="008A5463"/>
    <w:rsid w:val="008A6EC2"/>
    <w:rsid w:val="008C774A"/>
    <w:rsid w:val="008D0722"/>
    <w:rsid w:val="008D0B8A"/>
    <w:rsid w:val="008D7ECD"/>
    <w:rsid w:val="008F3374"/>
    <w:rsid w:val="00914010"/>
    <w:rsid w:val="00925935"/>
    <w:rsid w:val="00926479"/>
    <w:rsid w:val="00927041"/>
    <w:rsid w:val="00931AEF"/>
    <w:rsid w:val="009413F8"/>
    <w:rsid w:val="00942A0C"/>
    <w:rsid w:val="00950894"/>
    <w:rsid w:val="0097009B"/>
    <w:rsid w:val="0097370B"/>
    <w:rsid w:val="009A0E5D"/>
    <w:rsid w:val="009A6E3B"/>
    <w:rsid w:val="009A7E5E"/>
    <w:rsid w:val="009B570D"/>
    <w:rsid w:val="009C3B0C"/>
    <w:rsid w:val="009C5FCD"/>
    <w:rsid w:val="009E5F6F"/>
    <w:rsid w:val="009F2C63"/>
    <w:rsid w:val="009F5839"/>
    <w:rsid w:val="009F6537"/>
    <w:rsid w:val="009F79CC"/>
    <w:rsid w:val="00A0632E"/>
    <w:rsid w:val="00A14F1E"/>
    <w:rsid w:val="00A2090A"/>
    <w:rsid w:val="00A30802"/>
    <w:rsid w:val="00A3105D"/>
    <w:rsid w:val="00A31A48"/>
    <w:rsid w:val="00A327D7"/>
    <w:rsid w:val="00A32DC0"/>
    <w:rsid w:val="00A359AF"/>
    <w:rsid w:val="00A42CB2"/>
    <w:rsid w:val="00A45000"/>
    <w:rsid w:val="00A4585E"/>
    <w:rsid w:val="00A4686D"/>
    <w:rsid w:val="00A5032B"/>
    <w:rsid w:val="00A67D87"/>
    <w:rsid w:val="00A85458"/>
    <w:rsid w:val="00A95801"/>
    <w:rsid w:val="00AB483B"/>
    <w:rsid w:val="00AB4A02"/>
    <w:rsid w:val="00AB68AE"/>
    <w:rsid w:val="00AB6B8A"/>
    <w:rsid w:val="00AE0EC4"/>
    <w:rsid w:val="00AE46C1"/>
    <w:rsid w:val="00AF076F"/>
    <w:rsid w:val="00AF44B0"/>
    <w:rsid w:val="00AF53B4"/>
    <w:rsid w:val="00AF69B2"/>
    <w:rsid w:val="00B01BF7"/>
    <w:rsid w:val="00B22FD0"/>
    <w:rsid w:val="00B27397"/>
    <w:rsid w:val="00B4048E"/>
    <w:rsid w:val="00B45C8D"/>
    <w:rsid w:val="00B67534"/>
    <w:rsid w:val="00B70AB6"/>
    <w:rsid w:val="00B76143"/>
    <w:rsid w:val="00B940EC"/>
    <w:rsid w:val="00BA2C35"/>
    <w:rsid w:val="00BB4B96"/>
    <w:rsid w:val="00BB4E6F"/>
    <w:rsid w:val="00BB61BF"/>
    <w:rsid w:val="00BC00EB"/>
    <w:rsid w:val="00BC1958"/>
    <w:rsid w:val="00BE24C0"/>
    <w:rsid w:val="00BE3C5D"/>
    <w:rsid w:val="00BE54A8"/>
    <w:rsid w:val="00BF53F7"/>
    <w:rsid w:val="00C06FAB"/>
    <w:rsid w:val="00C12249"/>
    <w:rsid w:val="00C13652"/>
    <w:rsid w:val="00C14A41"/>
    <w:rsid w:val="00C37DFF"/>
    <w:rsid w:val="00C438D6"/>
    <w:rsid w:val="00C67A10"/>
    <w:rsid w:val="00C7756E"/>
    <w:rsid w:val="00C8076B"/>
    <w:rsid w:val="00C82FDA"/>
    <w:rsid w:val="00CA2763"/>
    <w:rsid w:val="00CB4C59"/>
    <w:rsid w:val="00CB74B3"/>
    <w:rsid w:val="00CD209E"/>
    <w:rsid w:val="00CD39E8"/>
    <w:rsid w:val="00CD7233"/>
    <w:rsid w:val="00CE72F6"/>
    <w:rsid w:val="00D07F77"/>
    <w:rsid w:val="00D16E73"/>
    <w:rsid w:val="00D17D70"/>
    <w:rsid w:val="00D21819"/>
    <w:rsid w:val="00D269EF"/>
    <w:rsid w:val="00D32BAD"/>
    <w:rsid w:val="00D409A7"/>
    <w:rsid w:val="00D41D90"/>
    <w:rsid w:val="00D57C77"/>
    <w:rsid w:val="00D92256"/>
    <w:rsid w:val="00DB0BC6"/>
    <w:rsid w:val="00DB3C21"/>
    <w:rsid w:val="00DB6339"/>
    <w:rsid w:val="00DB7BDB"/>
    <w:rsid w:val="00DD51B3"/>
    <w:rsid w:val="00DD7F42"/>
    <w:rsid w:val="00DE7DD1"/>
    <w:rsid w:val="00DF2DA0"/>
    <w:rsid w:val="00E53220"/>
    <w:rsid w:val="00E55212"/>
    <w:rsid w:val="00E57AFE"/>
    <w:rsid w:val="00E74C87"/>
    <w:rsid w:val="00E82904"/>
    <w:rsid w:val="00E94A86"/>
    <w:rsid w:val="00E951A3"/>
    <w:rsid w:val="00EB3A73"/>
    <w:rsid w:val="00EC0D40"/>
    <w:rsid w:val="00EC3AE4"/>
    <w:rsid w:val="00EC718C"/>
    <w:rsid w:val="00EF045A"/>
    <w:rsid w:val="00F04F8F"/>
    <w:rsid w:val="00F354E6"/>
    <w:rsid w:val="00F364FB"/>
    <w:rsid w:val="00F45FF2"/>
    <w:rsid w:val="00F56A2F"/>
    <w:rsid w:val="00F6012A"/>
    <w:rsid w:val="00F74824"/>
    <w:rsid w:val="00F834B5"/>
    <w:rsid w:val="00F84654"/>
    <w:rsid w:val="00F85836"/>
    <w:rsid w:val="00FA382B"/>
    <w:rsid w:val="00FA67BB"/>
    <w:rsid w:val="00FB6319"/>
    <w:rsid w:val="00FB76B6"/>
    <w:rsid w:val="00FC1623"/>
    <w:rsid w:val="00FF381E"/>
    <w:rsid w:val="00FF3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6A7"/>
    <w:rPr>
      <w:rFonts w:ascii="Arial" w:eastAsia="Calibri" w:hAnsi="Arial" w:cs="Calibri"/>
      <w:sz w:val="22"/>
      <w:szCs w:val="22"/>
      <w:lang w:eastAsia="en-US"/>
    </w:rPr>
  </w:style>
  <w:style w:type="paragraph" w:styleId="Heading1">
    <w:name w:val="heading 1"/>
    <w:basedOn w:val="Normal"/>
    <w:next w:val="Normal"/>
    <w:qFormat/>
    <w:rsid w:val="00950894"/>
    <w:pPr>
      <w:keepNext/>
      <w:spacing w:before="60" w:after="60"/>
      <w:outlineLvl w:val="0"/>
    </w:pPr>
    <w:rPr>
      <w:rFonts w:cs="Arial"/>
      <w:b/>
      <w:bCs/>
      <w:kern w:val="32"/>
      <w:sz w:val="32"/>
      <w:szCs w:val="32"/>
    </w:rPr>
  </w:style>
  <w:style w:type="paragraph" w:styleId="Heading2">
    <w:name w:val="heading 2"/>
    <w:basedOn w:val="Normal"/>
    <w:next w:val="Normal"/>
    <w:qFormat/>
    <w:rsid w:val="00950894"/>
    <w:pPr>
      <w:keepNext/>
      <w:spacing w:before="60" w:after="60"/>
      <w:outlineLvl w:val="1"/>
    </w:pPr>
    <w:rPr>
      <w:rFonts w:cs="Arial"/>
      <w:b/>
      <w:bCs/>
      <w:iCs/>
      <w:sz w:val="28"/>
      <w:szCs w:val="28"/>
    </w:rPr>
  </w:style>
  <w:style w:type="paragraph" w:styleId="Heading3">
    <w:name w:val="heading 3"/>
    <w:aliases w:val="Heading 3 Char,H3,H31,H32,H33,H34,H35,H36,H37,H38,H39,H310,H311,H312,H313,H314,H315,H321,H316,H317,H318,H322,H331,H341,H351,H361,H371,H381,H391,H3101,H3111,H3121,H3131,H3141,H3151,H3211,H3161,H3171,H319,H323,H332,H342,H352,H362,H372,H382,H392"/>
    <w:basedOn w:val="Normal"/>
    <w:next w:val="Normal"/>
    <w:autoRedefine/>
    <w:qFormat/>
    <w:rsid w:val="003D6188"/>
    <w:pPr>
      <w:keepNext/>
      <w:spacing w:before="60" w:after="60"/>
      <w:outlineLvl w:val="2"/>
    </w:pPr>
    <w:rPr>
      <w:rFonts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arial">
    <w:name w:val="captionarial"/>
    <w:basedOn w:val="Normal"/>
    <w:rsid w:val="00FB76B6"/>
    <w:pPr>
      <w:spacing w:before="120" w:after="240"/>
      <w:ind w:left="567"/>
    </w:pPr>
    <w:rPr>
      <w:b/>
      <w:i/>
    </w:rPr>
  </w:style>
  <w:style w:type="character" w:styleId="Hyperlink">
    <w:name w:val="Hyperlink"/>
    <w:rsid w:val="0046039A"/>
    <w:rPr>
      <w:color w:val="0000FF"/>
      <w:u w:val="single"/>
    </w:rPr>
  </w:style>
  <w:style w:type="paragraph" w:customStyle="1" w:styleId="Heading4">
    <w:name w:val="Heading4"/>
    <w:basedOn w:val="Normal"/>
    <w:rsid w:val="0000693A"/>
    <w:pPr>
      <w:spacing w:after="120"/>
    </w:pPr>
    <w:rPr>
      <w:b/>
    </w:rPr>
  </w:style>
  <w:style w:type="paragraph" w:customStyle="1" w:styleId="Appendix">
    <w:name w:val="Appendix"/>
    <w:basedOn w:val="Heading2"/>
    <w:rsid w:val="00FB76B6"/>
    <w:pPr>
      <w:jc w:val="right"/>
    </w:pPr>
    <w:rPr>
      <w:i/>
    </w:rPr>
  </w:style>
  <w:style w:type="paragraph" w:customStyle="1" w:styleId="bullets">
    <w:name w:val="bullets"/>
    <w:basedOn w:val="Normal"/>
    <w:next w:val="Normal"/>
    <w:autoRedefine/>
    <w:rsid w:val="00DF2DA0"/>
    <w:pPr>
      <w:numPr>
        <w:numId w:val="6"/>
      </w:numPr>
      <w:spacing w:before="60" w:after="60"/>
    </w:pPr>
    <w:rPr>
      <w:rFonts w:cs="Arial"/>
    </w:rPr>
  </w:style>
  <w:style w:type="paragraph" w:customStyle="1" w:styleId="numbers">
    <w:name w:val="numbers"/>
    <w:basedOn w:val="Normal"/>
    <w:next w:val="Normal"/>
    <w:rsid w:val="000E4C95"/>
    <w:pPr>
      <w:numPr>
        <w:numId w:val="14"/>
      </w:numPr>
      <w:spacing w:before="60" w:after="60"/>
    </w:pPr>
    <w:rPr>
      <w:rFonts w:cs="Arial"/>
      <w:szCs w:val="24"/>
    </w:rPr>
  </w:style>
  <w:style w:type="paragraph" w:customStyle="1" w:styleId="quotes">
    <w:name w:val="quotes"/>
    <w:basedOn w:val="Normal"/>
    <w:next w:val="Normal"/>
    <w:autoRedefine/>
    <w:rsid w:val="006F4B98"/>
    <w:pPr>
      <w:spacing w:before="60" w:after="60"/>
      <w:ind w:left="567"/>
    </w:pPr>
    <w:rPr>
      <w:rFonts w:cs="Arial"/>
      <w:i/>
    </w:rPr>
  </w:style>
  <w:style w:type="paragraph" w:styleId="Header">
    <w:name w:val="header"/>
    <w:basedOn w:val="Normal"/>
    <w:rsid w:val="001B5432"/>
    <w:pPr>
      <w:tabs>
        <w:tab w:val="center" w:pos="4153"/>
        <w:tab w:val="right" w:pos="8306"/>
      </w:tabs>
    </w:pPr>
  </w:style>
  <w:style w:type="paragraph" w:styleId="Footer">
    <w:name w:val="footer"/>
    <w:basedOn w:val="Normal"/>
    <w:link w:val="FooterChar"/>
    <w:uiPriority w:val="99"/>
    <w:rsid w:val="001B5432"/>
    <w:pPr>
      <w:tabs>
        <w:tab w:val="center" w:pos="4153"/>
        <w:tab w:val="right" w:pos="8306"/>
      </w:tabs>
    </w:pPr>
  </w:style>
  <w:style w:type="character" w:styleId="PageNumber">
    <w:name w:val="page number"/>
    <w:basedOn w:val="DefaultParagraphFont"/>
    <w:rsid w:val="001B5432"/>
  </w:style>
  <w:style w:type="paragraph" w:styleId="TOC1">
    <w:name w:val="toc 1"/>
    <w:basedOn w:val="Normal"/>
    <w:next w:val="Normal"/>
    <w:autoRedefine/>
    <w:semiHidden/>
    <w:rsid w:val="002E3A03"/>
    <w:pPr>
      <w:tabs>
        <w:tab w:val="left" w:pos="480"/>
        <w:tab w:val="right" w:leader="dot" w:pos="9060"/>
      </w:tabs>
      <w:spacing w:before="60"/>
    </w:pPr>
  </w:style>
  <w:style w:type="paragraph" w:styleId="TOC2">
    <w:name w:val="toc 2"/>
    <w:basedOn w:val="Normal"/>
    <w:next w:val="Normal"/>
    <w:autoRedefine/>
    <w:semiHidden/>
    <w:rsid w:val="002E3A03"/>
    <w:pPr>
      <w:tabs>
        <w:tab w:val="left" w:pos="960"/>
        <w:tab w:val="right" w:leader="dot" w:pos="9060"/>
      </w:tabs>
      <w:spacing w:before="60"/>
      <w:ind w:left="238"/>
    </w:pPr>
  </w:style>
  <w:style w:type="paragraph" w:styleId="TOC3">
    <w:name w:val="toc 3"/>
    <w:basedOn w:val="Normal"/>
    <w:next w:val="Normal"/>
    <w:autoRedefine/>
    <w:semiHidden/>
    <w:rsid w:val="002E3A03"/>
    <w:pPr>
      <w:tabs>
        <w:tab w:val="left" w:pos="1440"/>
        <w:tab w:val="right" w:leader="dot" w:pos="9060"/>
      </w:tabs>
      <w:ind w:left="482"/>
    </w:pPr>
  </w:style>
  <w:style w:type="paragraph" w:customStyle="1" w:styleId="Heading">
    <w:name w:val="Heading"/>
    <w:basedOn w:val="Normal"/>
    <w:rsid w:val="00FB76B6"/>
    <w:pPr>
      <w:spacing w:before="120" w:after="120"/>
    </w:pPr>
    <w:rPr>
      <w:b/>
      <w:noProof/>
      <w:sz w:val="28"/>
      <w:szCs w:val="28"/>
    </w:rPr>
  </w:style>
  <w:style w:type="table" w:styleId="TableGrid">
    <w:name w:val="Table Grid"/>
    <w:basedOn w:val="TableNormal"/>
    <w:rsid w:val="008C774A"/>
    <w:pPr>
      <w:spacing w:before="60"/>
      <w:jc w:val="center"/>
    </w:pPr>
    <w:rPr>
      <w:rFonts w:ascii="Arial" w:hAnsi="Arial"/>
      <w:sz w:val="22"/>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w:hAnsi="Arial"/>
        <w:b/>
        <w:sz w:val="22"/>
      </w:rPr>
    </w:tblStylePr>
  </w:style>
  <w:style w:type="paragraph" w:customStyle="1" w:styleId="StylenumbersLinespacingDouble">
    <w:name w:val="Style numbers + Line spacing:  Double"/>
    <w:basedOn w:val="numbers"/>
    <w:rsid w:val="003D183C"/>
    <w:pPr>
      <w:numPr>
        <w:numId w:val="0"/>
      </w:numPr>
      <w:tabs>
        <w:tab w:val="left" w:pos="924"/>
      </w:tabs>
      <w:spacing w:line="480" w:lineRule="auto"/>
    </w:pPr>
    <w:rPr>
      <w:rFonts w:cs="Times New Roman"/>
      <w:szCs w:val="20"/>
    </w:rPr>
  </w:style>
  <w:style w:type="paragraph" w:styleId="BalloonText">
    <w:name w:val="Balloon Text"/>
    <w:basedOn w:val="Normal"/>
    <w:link w:val="BalloonTextChar"/>
    <w:rsid w:val="00AF69B2"/>
    <w:rPr>
      <w:rFonts w:ascii="Tahoma" w:hAnsi="Tahoma" w:cs="Tahoma"/>
      <w:sz w:val="16"/>
      <w:szCs w:val="16"/>
    </w:rPr>
  </w:style>
  <w:style w:type="character" w:customStyle="1" w:styleId="BalloonTextChar">
    <w:name w:val="Balloon Text Char"/>
    <w:link w:val="BalloonText"/>
    <w:rsid w:val="00AF69B2"/>
    <w:rPr>
      <w:rFonts w:ascii="Tahoma" w:eastAsia="Calibri" w:hAnsi="Tahoma" w:cs="Tahoma"/>
      <w:sz w:val="16"/>
      <w:szCs w:val="16"/>
      <w:lang w:eastAsia="en-US"/>
    </w:rPr>
  </w:style>
  <w:style w:type="paragraph" w:styleId="ListParagraph">
    <w:name w:val="List Paragraph"/>
    <w:basedOn w:val="Normal"/>
    <w:uiPriority w:val="34"/>
    <w:qFormat/>
    <w:rsid w:val="00362838"/>
    <w:pPr>
      <w:ind w:left="720"/>
      <w:contextualSpacing/>
    </w:pPr>
  </w:style>
  <w:style w:type="character" w:customStyle="1" w:styleId="FooterChar">
    <w:name w:val="Footer Char"/>
    <w:basedOn w:val="DefaultParagraphFont"/>
    <w:link w:val="Footer"/>
    <w:uiPriority w:val="99"/>
    <w:rsid w:val="00AB4A02"/>
    <w:rPr>
      <w:rFonts w:ascii="Arial" w:eastAsia="Calibri" w:hAnsi="Arial"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6A7"/>
    <w:rPr>
      <w:rFonts w:ascii="Arial" w:eastAsia="Calibri" w:hAnsi="Arial" w:cs="Calibri"/>
      <w:sz w:val="22"/>
      <w:szCs w:val="22"/>
      <w:lang w:eastAsia="en-US"/>
    </w:rPr>
  </w:style>
  <w:style w:type="paragraph" w:styleId="Heading1">
    <w:name w:val="heading 1"/>
    <w:basedOn w:val="Normal"/>
    <w:next w:val="Normal"/>
    <w:qFormat/>
    <w:rsid w:val="00950894"/>
    <w:pPr>
      <w:keepNext/>
      <w:spacing w:before="60" w:after="60"/>
      <w:outlineLvl w:val="0"/>
    </w:pPr>
    <w:rPr>
      <w:rFonts w:cs="Arial"/>
      <w:b/>
      <w:bCs/>
      <w:kern w:val="32"/>
      <w:sz w:val="32"/>
      <w:szCs w:val="32"/>
    </w:rPr>
  </w:style>
  <w:style w:type="paragraph" w:styleId="Heading2">
    <w:name w:val="heading 2"/>
    <w:basedOn w:val="Normal"/>
    <w:next w:val="Normal"/>
    <w:qFormat/>
    <w:rsid w:val="00950894"/>
    <w:pPr>
      <w:keepNext/>
      <w:spacing w:before="60" w:after="60"/>
      <w:outlineLvl w:val="1"/>
    </w:pPr>
    <w:rPr>
      <w:rFonts w:cs="Arial"/>
      <w:b/>
      <w:bCs/>
      <w:iCs/>
      <w:sz w:val="28"/>
      <w:szCs w:val="28"/>
    </w:rPr>
  </w:style>
  <w:style w:type="paragraph" w:styleId="Heading3">
    <w:name w:val="heading 3"/>
    <w:aliases w:val="Heading 3 Char,H3,H31,H32,H33,H34,H35,H36,H37,H38,H39,H310,H311,H312,H313,H314,H315,H321,H316,H317,H318,H322,H331,H341,H351,H361,H371,H381,H391,H3101,H3111,H3121,H3131,H3141,H3151,H3211,H3161,H3171,H319,H323,H332,H342,H352,H362,H372,H382,H392"/>
    <w:basedOn w:val="Normal"/>
    <w:next w:val="Normal"/>
    <w:autoRedefine/>
    <w:qFormat/>
    <w:rsid w:val="003D6188"/>
    <w:pPr>
      <w:keepNext/>
      <w:spacing w:before="60" w:after="60"/>
      <w:outlineLvl w:val="2"/>
    </w:pPr>
    <w:rPr>
      <w:rFonts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arial">
    <w:name w:val="captionarial"/>
    <w:basedOn w:val="Normal"/>
    <w:rsid w:val="00FB76B6"/>
    <w:pPr>
      <w:spacing w:before="120" w:after="240"/>
      <w:ind w:left="567"/>
    </w:pPr>
    <w:rPr>
      <w:b/>
      <w:i/>
    </w:rPr>
  </w:style>
  <w:style w:type="character" w:styleId="Hyperlink">
    <w:name w:val="Hyperlink"/>
    <w:rsid w:val="0046039A"/>
    <w:rPr>
      <w:color w:val="0000FF"/>
      <w:u w:val="single"/>
    </w:rPr>
  </w:style>
  <w:style w:type="paragraph" w:customStyle="1" w:styleId="Heading4">
    <w:name w:val="Heading4"/>
    <w:basedOn w:val="Normal"/>
    <w:rsid w:val="0000693A"/>
    <w:pPr>
      <w:spacing w:after="120"/>
    </w:pPr>
    <w:rPr>
      <w:b/>
    </w:rPr>
  </w:style>
  <w:style w:type="paragraph" w:customStyle="1" w:styleId="Appendix">
    <w:name w:val="Appendix"/>
    <w:basedOn w:val="Heading2"/>
    <w:rsid w:val="00FB76B6"/>
    <w:pPr>
      <w:jc w:val="right"/>
    </w:pPr>
    <w:rPr>
      <w:i/>
    </w:rPr>
  </w:style>
  <w:style w:type="paragraph" w:customStyle="1" w:styleId="bullets">
    <w:name w:val="bullets"/>
    <w:basedOn w:val="Normal"/>
    <w:next w:val="Normal"/>
    <w:autoRedefine/>
    <w:rsid w:val="00DF2DA0"/>
    <w:pPr>
      <w:numPr>
        <w:numId w:val="6"/>
      </w:numPr>
      <w:spacing w:before="60" w:after="60"/>
    </w:pPr>
    <w:rPr>
      <w:rFonts w:cs="Arial"/>
    </w:rPr>
  </w:style>
  <w:style w:type="paragraph" w:customStyle="1" w:styleId="numbers">
    <w:name w:val="numbers"/>
    <w:basedOn w:val="Normal"/>
    <w:next w:val="Normal"/>
    <w:rsid w:val="000E4C95"/>
    <w:pPr>
      <w:numPr>
        <w:numId w:val="14"/>
      </w:numPr>
      <w:spacing w:before="60" w:after="60"/>
    </w:pPr>
    <w:rPr>
      <w:rFonts w:cs="Arial"/>
      <w:szCs w:val="24"/>
    </w:rPr>
  </w:style>
  <w:style w:type="paragraph" w:customStyle="1" w:styleId="quotes">
    <w:name w:val="quotes"/>
    <w:basedOn w:val="Normal"/>
    <w:next w:val="Normal"/>
    <w:autoRedefine/>
    <w:rsid w:val="006F4B98"/>
    <w:pPr>
      <w:spacing w:before="60" w:after="60"/>
      <w:ind w:left="567"/>
    </w:pPr>
    <w:rPr>
      <w:rFonts w:cs="Arial"/>
      <w:i/>
    </w:rPr>
  </w:style>
  <w:style w:type="paragraph" w:styleId="Header">
    <w:name w:val="header"/>
    <w:basedOn w:val="Normal"/>
    <w:rsid w:val="001B5432"/>
    <w:pPr>
      <w:tabs>
        <w:tab w:val="center" w:pos="4153"/>
        <w:tab w:val="right" w:pos="8306"/>
      </w:tabs>
    </w:pPr>
  </w:style>
  <w:style w:type="paragraph" w:styleId="Footer">
    <w:name w:val="footer"/>
    <w:basedOn w:val="Normal"/>
    <w:link w:val="FooterChar"/>
    <w:uiPriority w:val="99"/>
    <w:rsid w:val="001B5432"/>
    <w:pPr>
      <w:tabs>
        <w:tab w:val="center" w:pos="4153"/>
        <w:tab w:val="right" w:pos="8306"/>
      </w:tabs>
    </w:pPr>
  </w:style>
  <w:style w:type="character" w:styleId="PageNumber">
    <w:name w:val="page number"/>
    <w:basedOn w:val="DefaultParagraphFont"/>
    <w:rsid w:val="001B5432"/>
  </w:style>
  <w:style w:type="paragraph" w:styleId="TOC1">
    <w:name w:val="toc 1"/>
    <w:basedOn w:val="Normal"/>
    <w:next w:val="Normal"/>
    <w:autoRedefine/>
    <w:semiHidden/>
    <w:rsid w:val="002E3A03"/>
    <w:pPr>
      <w:tabs>
        <w:tab w:val="left" w:pos="480"/>
        <w:tab w:val="right" w:leader="dot" w:pos="9060"/>
      </w:tabs>
      <w:spacing w:before="60"/>
    </w:pPr>
  </w:style>
  <w:style w:type="paragraph" w:styleId="TOC2">
    <w:name w:val="toc 2"/>
    <w:basedOn w:val="Normal"/>
    <w:next w:val="Normal"/>
    <w:autoRedefine/>
    <w:semiHidden/>
    <w:rsid w:val="002E3A03"/>
    <w:pPr>
      <w:tabs>
        <w:tab w:val="left" w:pos="960"/>
        <w:tab w:val="right" w:leader="dot" w:pos="9060"/>
      </w:tabs>
      <w:spacing w:before="60"/>
      <w:ind w:left="238"/>
    </w:pPr>
  </w:style>
  <w:style w:type="paragraph" w:styleId="TOC3">
    <w:name w:val="toc 3"/>
    <w:basedOn w:val="Normal"/>
    <w:next w:val="Normal"/>
    <w:autoRedefine/>
    <w:semiHidden/>
    <w:rsid w:val="002E3A03"/>
    <w:pPr>
      <w:tabs>
        <w:tab w:val="left" w:pos="1440"/>
        <w:tab w:val="right" w:leader="dot" w:pos="9060"/>
      </w:tabs>
      <w:ind w:left="482"/>
    </w:pPr>
  </w:style>
  <w:style w:type="paragraph" w:customStyle="1" w:styleId="Heading">
    <w:name w:val="Heading"/>
    <w:basedOn w:val="Normal"/>
    <w:rsid w:val="00FB76B6"/>
    <w:pPr>
      <w:spacing w:before="120" w:after="120"/>
    </w:pPr>
    <w:rPr>
      <w:b/>
      <w:noProof/>
      <w:sz w:val="28"/>
      <w:szCs w:val="28"/>
    </w:rPr>
  </w:style>
  <w:style w:type="table" w:styleId="TableGrid">
    <w:name w:val="Table Grid"/>
    <w:basedOn w:val="TableNormal"/>
    <w:rsid w:val="008C774A"/>
    <w:pPr>
      <w:spacing w:before="60"/>
      <w:jc w:val="center"/>
    </w:pPr>
    <w:rPr>
      <w:rFonts w:ascii="Arial" w:hAnsi="Arial"/>
      <w:sz w:val="22"/>
    </w:rPr>
    <w:tblPr>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Arial" w:hAnsi="Arial"/>
        <w:b/>
        <w:sz w:val="22"/>
      </w:rPr>
    </w:tblStylePr>
  </w:style>
  <w:style w:type="paragraph" w:customStyle="1" w:styleId="StylenumbersLinespacingDouble">
    <w:name w:val="Style numbers + Line spacing:  Double"/>
    <w:basedOn w:val="numbers"/>
    <w:rsid w:val="003D183C"/>
    <w:pPr>
      <w:numPr>
        <w:numId w:val="0"/>
      </w:numPr>
      <w:tabs>
        <w:tab w:val="left" w:pos="924"/>
      </w:tabs>
      <w:spacing w:line="480" w:lineRule="auto"/>
    </w:pPr>
    <w:rPr>
      <w:rFonts w:cs="Times New Roman"/>
      <w:szCs w:val="20"/>
    </w:rPr>
  </w:style>
  <w:style w:type="paragraph" w:styleId="BalloonText">
    <w:name w:val="Balloon Text"/>
    <w:basedOn w:val="Normal"/>
    <w:link w:val="BalloonTextChar"/>
    <w:rsid w:val="00AF69B2"/>
    <w:rPr>
      <w:rFonts w:ascii="Tahoma" w:hAnsi="Tahoma" w:cs="Tahoma"/>
      <w:sz w:val="16"/>
      <w:szCs w:val="16"/>
    </w:rPr>
  </w:style>
  <w:style w:type="character" w:customStyle="1" w:styleId="BalloonTextChar">
    <w:name w:val="Balloon Text Char"/>
    <w:link w:val="BalloonText"/>
    <w:rsid w:val="00AF69B2"/>
    <w:rPr>
      <w:rFonts w:ascii="Tahoma" w:eastAsia="Calibri" w:hAnsi="Tahoma" w:cs="Tahoma"/>
      <w:sz w:val="16"/>
      <w:szCs w:val="16"/>
      <w:lang w:eastAsia="en-US"/>
    </w:rPr>
  </w:style>
  <w:style w:type="paragraph" w:styleId="ListParagraph">
    <w:name w:val="List Paragraph"/>
    <w:basedOn w:val="Normal"/>
    <w:uiPriority w:val="34"/>
    <w:qFormat/>
    <w:rsid w:val="00362838"/>
    <w:pPr>
      <w:ind w:left="720"/>
      <w:contextualSpacing/>
    </w:pPr>
  </w:style>
  <w:style w:type="character" w:customStyle="1" w:styleId="FooterChar">
    <w:name w:val="Footer Char"/>
    <w:basedOn w:val="DefaultParagraphFont"/>
    <w:link w:val="Footer"/>
    <w:uiPriority w:val="99"/>
    <w:rsid w:val="00AB4A02"/>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8944">
      <w:bodyDiv w:val="1"/>
      <w:marLeft w:val="0"/>
      <w:marRight w:val="0"/>
      <w:marTop w:val="0"/>
      <w:marBottom w:val="0"/>
      <w:divBdr>
        <w:top w:val="none" w:sz="0" w:space="0" w:color="auto"/>
        <w:left w:val="none" w:sz="0" w:space="0" w:color="auto"/>
        <w:bottom w:val="none" w:sz="0" w:space="0" w:color="auto"/>
        <w:right w:val="none" w:sz="0" w:space="0" w:color="auto"/>
      </w:divBdr>
    </w:div>
    <w:div w:id="76485294">
      <w:bodyDiv w:val="1"/>
      <w:marLeft w:val="0"/>
      <w:marRight w:val="0"/>
      <w:marTop w:val="0"/>
      <w:marBottom w:val="0"/>
      <w:divBdr>
        <w:top w:val="none" w:sz="0" w:space="0" w:color="auto"/>
        <w:left w:val="none" w:sz="0" w:space="0" w:color="auto"/>
        <w:bottom w:val="none" w:sz="0" w:space="0" w:color="auto"/>
        <w:right w:val="none" w:sz="0" w:space="0" w:color="auto"/>
      </w:divBdr>
    </w:div>
    <w:div w:id="143859769">
      <w:bodyDiv w:val="1"/>
      <w:marLeft w:val="0"/>
      <w:marRight w:val="0"/>
      <w:marTop w:val="0"/>
      <w:marBottom w:val="0"/>
      <w:divBdr>
        <w:top w:val="none" w:sz="0" w:space="0" w:color="auto"/>
        <w:left w:val="none" w:sz="0" w:space="0" w:color="auto"/>
        <w:bottom w:val="none" w:sz="0" w:space="0" w:color="auto"/>
        <w:right w:val="none" w:sz="0" w:space="0" w:color="auto"/>
      </w:divBdr>
    </w:div>
    <w:div w:id="163669466">
      <w:bodyDiv w:val="1"/>
      <w:marLeft w:val="0"/>
      <w:marRight w:val="0"/>
      <w:marTop w:val="0"/>
      <w:marBottom w:val="0"/>
      <w:divBdr>
        <w:top w:val="none" w:sz="0" w:space="0" w:color="auto"/>
        <w:left w:val="none" w:sz="0" w:space="0" w:color="auto"/>
        <w:bottom w:val="none" w:sz="0" w:space="0" w:color="auto"/>
        <w:right w:val="none" w:sz="0" w:space="0" w:color="auto"/>
      </w:divBdr>
    </w:div>
    <w:div w:id="489060696">
      <w:bodyDiv w:val="1"/>
      <w:marLeft w:val="0"/>
      <w:marRight w:val="0"/>
      <w:marTop w:val="0"/>
      <w:marBottom w:val="0"/>
      <w:divBdr>
        <w:top w:val="none" w:sz="0" w:space="0" w:color="auto"/>
        <w:left w:val="none" w:sz="0" w:space="0" w:color="auto"/>
        <w:bottom w:val="none" w:sz="0" w:space="0" w:color="auto"/>
        <w:right w:val="none" w:sz="0" w:space="0" w:color="auto"/>
      </w:divBdr>
    </w:div>
    <w:div w:id="731581370">
      <w:bodyDiv w:val="1"/>
      <w:marLeft w:val="0"/>
      <w:marRight w:val="0"/>
      <w:marTop w:val="0"/>
      <w:marBottom w:val="0"/>
      <w:divBdr>
        <w:top w:val="none" w:sz="0" w:space="0" w:color="auto"/>
        <w:left w:val="none" w:sz="0" w:space="0" w:color="auto"/>
        <w:bottom w:val="none" w:sz="0" w:space="0" w:color="auto"/>
        <w:right w:val="none" w:sz="0" w:space="0" w:color="auto"/>
      </w:divBdr>
    </w:div>
    <w:div w:id="749617198">
      <w:bodyDiv w:val="1"/>
      <w:marLeft w:val="0"/>
      <w:marRight w:val="0"/>
      <w:marTop w:val="0"/>
      <w:marBottom w:val="0"/>
      <w:divBdr>
        <w:top w:val="none" w:sz="0" w:space="0" w:color="auto"/>
        <w:left w:val="none" w:sz="0" w:space="0" w:color="auto"/>
        <w:bottom w:val="none" w:sz="0" w:space="0" w:color="auto"/>
        <w:right w:val="none" w:sz="0" w:space="0" w:color="auto"/>
      </w:divBdr>
    </w:div>
    <w:div w:id="828984118">
      <w:bodyDiv w:val="1"/>
      <w:marLeft w:val="0"/>
      <w:marRight w:val="0"/>
      <w:marTop w:val="0"/>
      <w:marBottom w:val="0"/>
      <w:divBdr>
        <w:top w:val="none" w:sz="0" w:space="0" w:color="auto"/>
        <w:left w:val="none" w:sz="0" w:space="0" w:color="auto"/>
        <w:bottom w:val="none" w:sz="0" w:space="0" w:color="auto"/>
        <w:right w:val="none" w:sz="0" w:space="0" w:color="auto"/>
      </w:divBdr>
    </w:div>
    <w:div w:id="1022898471">
      <w:bodyDiv w:val="1"/>
      <w:marLeft w:val="0"/>
      <w:marRight w:val="0"/>
      <w:marTop w:val="0"/>
      <w:marBottom w:val="0"/>
      <w:divBdr>
        <w:top w:val="none" w:sz="0" w:space="0" w:color="auto"/>
        <w:left w:val="none" w:sz="0" w:space="0" w:color="auto"/>
        <w:bottom w:val="none" w:sz="0" w:space="0" w:color="auto"/>
        <w:right w:val="none" w:sz="0" w:space="0" w:color="auto"/>
      </w:divBdr>
    </w:div>
    <w:div w:id="1251743509">
      <w:bodyDiv w:val="1"/>
      <w:marLeft w:val="0"/>
      <w:marRight w:val="0"/>
      <w:marTop w:val="0"/>
      <w:marBottom w:val="0"/>
      <w:divBdr>
        <w:top w:val="none" w:sz="0" w:space="0" w:color="auto"/>
        <w:left w:val="none" w:sz="0" w:space="0" w:color="auto"/>
        <w:bottom w:val="none" w:sz="0" w:space="0" w:color="auto"/>
        <w:right w:val="none" w:sz="0" w:space="0" w:color="auto"/>
      </w:divBdr>
    </w:div>
    <w:div w:id="1350251089">
      <w:bodyDiv w:val="1"/>
      <w:marLeft w:val="0"/>
      <w:marRight w:val="0"/>
      <w:marTop w:val="0"/>
      <w:marBottom w:val="0"/>
      <w:divBdr>
        <w:top w:val="none" w:sz="0" w:space="0" w:color="auto"/>
        <w:left w:val="none" w:sz="0" w:space="0" w:color="auto"/>
        <w:bottom w:val="none" w:sz="0" w:space="0" w:color="auto"/>
        <w:right w:val="none" w:sz="0" w:space="0" w:color="auto"/>
      </w:divBdr>
    </w:div>
    <w:div w:id="1537504809">
      <w:bodyDiv w:val="1"/>
      <w:marLeft w:val="0"/>
      <w:marRight w:val="0"/>
      <w:marTop w:val="0"/>
      <w:marBottom w:val="0"/>
      <w:divBdr>
        <w:top w:val="none" w:sz="0" w:space="0" w:color="auto"/>
        <w:left w:val="none" w:sz="0" w:space="0" w:color="auto"/>
        <w:bottom w:val="none" w:sz="0" w:space="0" w:color="auto"/>
        <w:right w:val="none" w:sz="0" w:space="0" w:color="auto"/>
      </w:divBdr>
    </w:div>
    <w:div w:id="1620645279">
      <w:bodyDiv w:val="1"/>
      <w:marLeft w:val="0"/>
      <w:marRight w:val="0"/>
      <w:marTop w:val="0"/>
      <w:marBottom w:val="0"/>
      <w:divBdr>
        <w:top w:val="none" w:sz="0" w:space="0" w:color="auto"/>
        <w:left w:val="none" w:sz="0" w:space="0" w:color="auto"/>
        <w:bottom w:val="none" w:sz="0" w:space="0" w:color="auto"/>
        <w:right w:val="none" w:sz="0" w:space="0" w:color="auto"/>
      </w:divBdr>
    </w:div>
    <w:div w:id="1708800774">
      <w:bodyDiv w:val="1"/>
      <w:marLeft w:val="0"/>
      <w:marRight w:val="0"/>
      <w:marTop w:val="0"/>
      <w:marBottom w:val="0"/>
      <w:divBdr>
        <w:top w:val="none" w:sz="0" w:space="0" w:color="auto"/>
        <w:left w:val="none" w:sz="0" w:space="0" w:color="auto"/>
        <w:bottom w:val="none" w:sz="0" w:space="0" w:color="auto"/>
        <w:right w:val="none" w:sz="0" w:space="0" w:color="auto"/>
      </w:divBdr>
    </w:div>
    <w:div w:id="1777866016">
      <w:bodyDiv w:val="1"/>
      <w:marLeft w:val="0"/>
      <w:marRight w:val="0"/>
      <w:marTop w:val="0"/>
      <w:marBottom w:val="0"/>
      <w:divBdr>
        <w:top w:val="none" w:sz="0" w:space="0" w:color="auto"/>
        <w:left w:val="none" w:sz="0" w:space="0" w:color="auto"/>
        <w:bottom w:val="none" w:sz="0" w:space="0" w:color="auto"/>
        <w:right w:val="none" w:sz="0" w:space="0" w:color="auto"/>
      </w:divBdr>
    </w:div>
    <w:div w:id="1833259393">
      <w:bodyDiv w:val="1"/>
      <w:marLeft w:val="0"/>
      <w:marRight w:val="0"/>
      <w:marTop w:val="0"/>
      <w:marBottom w:val="0"/>
      <w:divBdr>
        <w:top w:val="none" w:sz="0" w:space="0" w:color="auto"/>
        <w:left w:val="none" w:sz="0" w:space="0" w:color="auto"/>
        <w:bottom w:val="none" w:sz="0" w:space="0" w:color="auto"/>
        <w:right w:val="none" w:sz="0" w:space="0" w:color="auto"/>
      </w:divBdr>
    </w:div>
    <w:div w:id="1877348298">
      <w:bodyDiv w:val="1"/>
      <w:marLeft w:val="0"/>
      <w:marRight w:val="0"/>
      <w:marTop w:val="0"/>
      <w:marBottom w:val="0"/>
      <w:divBdr>
        <w:top w:val="none" w:sz="0" w:space="0" w:color="auto"/>
        <w:left w:val="none" w:sz="0" w:space="0" w:color="auto"/>
        <w:bottom w:val="none" w:sz="0" w:space="0" w:color="auto"/>
        <w:right w:val="none" w:sz="0" w:space="0" w:color="auto"/>
      </w:divBdr>
    </w:div>
    <w:div w:id="1893884723">
      <w:bodyDiv w:val="1"/>
      <w:marLeft w:val="0"/>
      <w:marRight w:val="0"/>
      <w:marTop w:val="0"/>
      <w:marBottom w:val="0"/>
      <w:divBdr>
        <w:top w:val="none" w:sz="0" w:space="0" w:color="auto"/>
        <w:left w:val="none" w:sz="0" w:space="0" w:color="auto"/>
        <w:bottom w:val="none" w:sz="0" w:space="0" w:color="auto"/>
        <w:right w:val="none" w:sz="0" w:space="0" w:color="auto"/>
      </w:divBdr>
    </w:div>
    <w:div w:id="194329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VWCCG109\HomeShare\CYPF\BCCECENL\templates\M&amp;E%20team%20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M&amp;E team normal</Template>
  <TotalTime>266</TotalTime>
  <Pages>12</Pages>
  <Words>4214</Words>
  <Characters>21257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Birmingham Health Community</Company>
  <LinksUpToDate>false</LinksUpToDate>
  <CharactersWithSpaces>25421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8</cp:revision>
  <cp:lastPrinted>2016-02-04T12:01:00Z</cp:lastPrinted>
  <dcterms:created xsi:type="dcterms:W3CDTF">2017-03-23T16:02:00Z</dcterms:created>
  <dcterms:modified xsi:type="dcterms:W3CDTF">2017-03-27T08:40:00Z</dcterms:modified>
</cp:coreProperties>
</file>