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77" w:rsidRPr="00AA568F" w:rsidRDefault="000B1889" w:rsidP="001A168B">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theme="minorHAnsi"/>
          <w:b/>
          <w:sz w:val="32"/>
          <w:szCs w:val="32"/>
        </w:rPr>
      </w:pPr>
      <w:r w:rsidRPr="00AA568F">
        <w:rPr>
          <w:rFonts w:asciiTheme="minorHAnsi" w:hAnsiTheme="minorHAnsi" w:cstheme="minorHAnsi"/>
          <w:b/>
          <w:sz w:val="32"/>
          <w:szCs w:val="32"/>
        </w:rPr>
        <w:t xml:space="preserve">People’s Directorate </w:t>
      </w:r>
      <w:r w:rsidR="00C91877" w:rsidRPr="00AA568F">
        <w:rPr>
          <w:rFonts w:asciiTheme="minorHAnsi" w:hAnsiTheme="minorHAnsi" w:cstheme="minorHAnsi"/>
          <w:b/>
          <w:sz w:val="32"/>
          <w:szCs w:val="32"/>
        </w:rPr>
        <w:t>– PROGRAMME MANAGEMENT OFFICE</w:t>
      </w:r>
    </w:p>
    <w:p w:rsidR="00C91877" w:rsidRPr="00AA568F" w:rsidRDefault="000F6171" w:rsidP="001A168B">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theme="minorHAnsi"/>
          <w:b/>
          <w:sz w:val="32"/>
          <w:szCs w:val="32"/>
        </w:rPr>
      </w:pPr>
      <w:r w:rsidRPr="00AA568F">
        <w:rPr>
          <w:rFonts w:asciiTheme="minorHAnsi" w:hAnsiTheme="minorHAnsi" w:cstheme="minorHAnsi"/>
          <w:b/>
          <w:sz w:val="32"/>
          <w:szCs w:val="32"/>
        </w:rPr>
        <w:t>OUTLINE BUSINESS CASE</w:t>
      </w:r>
      <w:r w:rsidR="00E8676A" w:rsidRPr="00AA568F">
        <w:rPr>
          <w:rFonts w:asciiTheme="minorHAnsi" w:hAnsiTheme="minorHAnsi" w:cstheme="minorHAnsi"/>
          <w:b/>
          <w:sz w:val="32"/>
          <w:szCs w:val="32"/>
        </w:rPr>
        <w:t xml:space="preserve"> </w:t>
      </w:r>
    </w:p>
    <w:p w:rsidR="00C91877" w:rsidRPr="00AA568F" w:rsidRDefault="00C91877" w:rsidP="00C91877">
      <w:pPr>
        <w:jc w:val="center"/>
        <w:rPr>
          <w:rFonts w:asciiTheme="minorHAnsi" w:hAnsiTheme="minorHAnsi" w:cstheme="minorHAnsi"/>
          <w:b/>
          <w:sz w:val="32"/>
          <w:szCs w:val="32"/>
        </w:rPr>
      </w:pPr>
    </w:p>
    <w:p w:rsidR="00C91877" w:rsidRPr="00AA568F" w:rsidRDefault="00F501C8" w:rsidP="001A168B">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Theme="minorHAnsi" w:hAnsiTheme="minorHAnsi" w:cstheme="minorHAnsi"/>
          <w:b/>
          <w:sz w:val="32"/>
          <w:szCs w:val="32"/>
        </w:rPr>
      </w:pPr>
      <w:r w:rsidRPr="00AA568F">
        <w:rPr>
          <w:rFonts w:asciiTheme="minorHAnsi" w:hAnsiTheme="minorHAnsi" w:cstheme="minorHAnsi"/>
          <w:b/>
          <w:sz w:val="32"/>
          <w:szCs w:val="32"/>
        </w:rPr>
        <w:t>M</w:t>
      </w:r>
      <w:r w:rsidR="0060062D" w:rsidRPr="00AA568F">
        <w:rPr>
          <w:rFonts w:asciiTheme="minorHAnsi" w:hAnsiTheme="minorHAnsi" w:cstheme="minorHAnsi"/>
          <w:b/>
          <w:sz w:val="32"/>
          <w:szCs w:val="32"/>
        </w:rPr>
        <w:t xml:space="preserve">aximising </w:t>
      </w:r>
      <w:r w:rsidRPr="00AA568F">
        <w:rPr>
          <w:rFonts w:asciiTheme="minorHAnsi" w:hAnsiTheme="minorHAnsi" w:cstheme="minorHAnsi"/>
          <w:b/>
          <w:sz w:val="32"/>
          <w:szCs w:val="32"/>
        </w:rPr>
        <w:t>I</w:t>
      </w:r>
      <w:r w:rsidR="0060062D" w:rsidRPr="00AA568F">
        <w:rPr>
          <w:rFonts w:asciiTheme="minorHAnsi" w:hAnsiTheme="minorHAnsi" w:cstheme="minorHAnsi"/>
          <w:b/>
          <w:sz w:val="32"/>
          <w:szCs w:val="32"/>
        </w:rPr>
        <w:t xml:space="preserve">ndependence of </w:t>
      </w:r>
      <w:r w:rsidRPr="00AA568F">
        <w:rPr>
          <w:rFonts w:asciiTheme="minorHAnsi" w:hAnsiTheme="minorHAnsi" w:cstheme="minorHAnsi"/>
          <w:b/>
          <w:sz w:val="32"/>
          <w:szCs w:val="32"/>
        </w:rPr>
        <w:t>A</w:t>
      </w:r>
      <w:r w:rsidR="0060062D" w:rsidRPr="00AA568F">
        <w:rPr>
          <w:rFonts w:asciiTheme="minorHAnsi" w:hAnsiTheme="minorHAnsi" w:cstheme="minorHAnsi"/>
          <w:b/>
          <w:sz w:val="32"/>
          <w:szCs w:val="32"/>
        </w:rPr>
        <w:t>dults</w:t>
      </w:r>
      <w:r w:rsidRPr="00AA568F">
        <w:rPr>
          <w:rFonts w:asciiTheme="minorHAnsi" w:hAnsiTheme="minorHAnsi" w:cstheme="minorHAnsi"/>
          <w:b/>
          <w:sz w:val="32"/>
          <w:szCs w:val="32"/>
        </w:rPr>
        <w:t xml:space="preserve">: Internal Care Review – </w:t>
      </w:r>
      <w:r w:rsidR="00345D99" w:rsidRPr="00AA568F">
        <w:rPr>
          <w:rFonts w:asciiTheme="minorHAnsi" w:hAnsiTheme="minorHAnsi" w:cstheme="minorHAnsi"/>
          <w:b/>
          <w:sz w:val="32"/>
          <w:szCs w:val="32"/>
        </w:rPr>
        <w:t>Care Centres</w:t>
      </w:r>
    </w:p>
    <w:p w:rsidR="00C91877" w:rsidRPr="00AA568F" w:rsidRDefault="00C91877" w:rsidP="00C91877">
      <w:pPr>
        <w:rPr>
          <w:rFonts w:asciiTheme="minorHAnsi" w:hAnsiTheme="minorHAnsi" w:cstheme="minorHAnsi"/>
          <w:b/>
          <w:sz w:val="28"/>
        </w:rPr>
      </w:pPr>
      <w:r w:rsidRPr="00AA568F">
        <w:rPr>
          <w:rFonts w:asciiTheme="minorHAnsi" w:hAnsiTheme="minorHAnsi" w:cstheme="minorHAnsi"/>
          <w:b/>
          <w:sz w:val="28"/>
        </w:rPr>
        <w:t>Purpose</w:t>
      </w:r>
    </w:p>
    <w:p w:rsidR="000821C7" w:rsidRPr="00AA568F" w:rsidRDefault="000821C7" w:rsidP="000821C7">
      <w:pPr>
        <w:pStyle w:val="Style11ptAfter6pt"/>
        <w:rPr>
          <w:rFonts w:asciiTheme="minorHAnsi" w:hAnsiTheme="minorHAnsi" w:cstheme="minorHAnsi"/>
        </w:rPr>
      </w:pPr>
      <w:r w:rsidRPr="00AA568F">
        <w:rPr>
          <w:rFonts w:asciiTheme="minorHAnsi" w:hAnsiTheme="minorHAnsi" w:cstheme="minorHAnsi"/>
        </w:rPr>
        <w:t xml:space="preserve">The purpose of this document is to gain approval </w:t>
      </w:r>
      <w:r w:rsidR="0014017A" w:rsidRPr="00AA568F">
        <w:rPr>
          <w:rFonts w:asciiTheme="minorHAnsi" w:hAnsiTheme="minorHAnsi" w:cstheme="minorHAnsi"/>
        </w:rPr>
        <w:t xml:space="preserve">to proceed to consultation on the proposed options in relation to the </w:t>
      </w:r>
      <w:r w:rsidR="00802A58" w:rsidRPr="00AA568F">
        <w:rPr>
          <w:rFonts w:asciiTheme="minorHAnsi" w:hAnsiTheme="minorHAnsi" w:cstheme="minorHAnsi"/>
        </w:rPr>
        <w:t>Noman Power and Perry Tree Care Centres</w:t>
      </w:r>
      <w:r w:rsidRPr="00AA568F">
        <w:rPr>
          <w:rFonts w:asciiTheme="minorHAnsi" w:hAnsiTheme="minorHAnsi" w:cstheme="minorHAnsi"/>
        </w:rPr>
        <w:t>.</w:t>
      </w:r>
    </w:p>
    <w:p w:rsidR="000821C7" w:rsidRPr="00AA568F" w:rsidRDefault="000821C7" w:rsidP="000821C7">
      <w:pPr>
        <w:pStyle w:val="Style11ptAfter6pt"/>
        <w:rPr>
          <w:rFonts w:asciiTheme="minorHAnsi" w:hAnsiTheme="minorHAnsi" w:cstheme="minorHAnsi"/>
        </w:rPr>
      </w:pPr>
      <w:r w:rsidRPr="00AA568F">
        <w:rPr>
          <w:rFonts w:asciiTheme="minorHAnsi" w:hAnsiTheme="minorHAnsi" w:cstheme="minorHAnsi"/>
        </w:rPr>
        <w:t>The Business Case focuses on the current practice and situation, market and future of the service. This document describes the proposal</w:t>
      </w:r>
      <w:r w:rsidR="00802A58" w:rsidRPr="00AA568F">
        <w:rPr>
          <w:rFonts w:asciiTheme="minorHAnsi" w:hAnsiTheme="minorHAnsi" w:cstheme="minorHAnsi"/>
        </w:rPr>
        <w:t>s</w:t>
      </w:r>
      <w:r w:rsidRPr="00AA568F">
        <w:rPr>
          <w:rFonts w:asciiTheme="minorHAnsi" w:hAnsiTheme="minorHAnsi" w:cstheme="minorHAnsi"/>
        </w:rPr>
        <w:t xml:space="preserve"> for the service, together with an outline of the key issues and challenges faced.</w:t>
      </w:r>
    </w:p>
    <w:p w:rsidR="00EF4FF8" w:rsidRPr="00AA568F" w:rsidRDefault="00EF4FF8">
      <w:pPr>
        <w:spacing w:after="0" w:line="240" w:lineRule="auto"/>
        <w:rPr>
          <w:rFonts w:asciiTheme="minorHAnsi" w:hAnsiTheme="minorHAnsi" w:cstheme="minorHAnsi"/>
        </w:rPr>
      </w:pPr>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725"/>
      </w:tblGrid>
      <w:tr w:rsidR="00AA568F" w:rsidRPr="00AA568F" w:rsidTr="00FB15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4" w:type="dxa"/>
            <w:gridSpan w:val="2"/>
            <w:tcBorders>
              <w:top w:val="none" w:sz="0" w:space="0" w:color="auto"/>
              <w:left w:val="none" w:sz="0" w:space="0" w:color="auto"/>
              <w:bottom w:val="none" w:sz="0" w:space="0" w:color="auto"/>
              <w:right w:val="none" w:sz="0" w:space="0" w:color="auto"/>
            </w:tcBorders>
            <w:shd w:val="clear" w:color="auto" w:fill="DBE5F1" w:themeFill="accent1" w:themeFillTint="33"/>
          </w:tcPr>
          <w:p w:rsidR="00822206" w:rsidRPr="00AA568F" w:rsidRDefault="00822206" w:rsidP="00E45E05">
            <w:pPr>
              <w:rPr>
                <w:rFonts w:asciiTheme="minorHAnsi" w:hAnsiTheme="minorHAnsi" w:cstheme="minorHAnsi"/>
                <w:b w:val="0"/>
                <w:color w:val="auto"/>
              </w:rPr>
            </w:pPr>
            <w:r w:rsidRPr="00AA568F">
              <w:rPr>
                <w:rFonts w:asciiTheme="minorHAnsi" w:hAnsiTheme="minorHAnsi" w:cstheme="minorHAnsi"/>
                <w:color w:val="auto"/>
              </w:rPr>
              <w:t>P</w:t>
            </w:r>
            <w:r w:rsidR="00E45E05" w:rsidRPr="00AA568F">
              <w:rPr>
                <w:rFonts w:asciiTheme="minorHAnsi" w:hAnsiTheme="minorHAnsi" w:cstheme="minorHAnsi"/>
                <w:color w:val="auto"/>
              </w:rPr>
              <w:t>roject Mandate</w:t>
            </w:r>
          </w:p>
        </w:tc>
      </w:tr>
      <w:tr w:rsidR="00AA568F" w:rsidRPr="00F13B38" w:rsidTr="00FB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shd w:val="clear" w:color="auto" w:fill="DBE5F1" w:themeFill="accent1" w:themeFillTint="33"/>
          </w:tcPr>
          <w:p w:rsidR="00822206" w:rsidRPr="00AA568F" w:rsidRDefault="00822206" w:rsidP="00E45E05">
            <w:pPr>
              <w:rPr>
                <w:rFonts w:asciiTheme="minorHAnsi" w:hAnsiTheme="minorHAnsi" w:cstheme="minorHAnsi"/>
                <w:b w:val="0"/>
                <w:color w:val="auto"/>
              </w:rPr>
            </w:pPr>
            <w:r w:rsidRPr="00AA568F">
              <w:rPr>
                <w:rFonts w:asciiTheme="minorHAnsi" w:hAnsiTheme="minorHAnsi" w:cstheme="minorHAnsi"/>
                <w:color w:val="auto"/>
              </w:rPr>
              <w:t>B</w:t>
            </w:r>
            <w:r w:rsidR="00E45E05" w:rsidRPr="00AA568F">
              <w:rPr>
                <w:rFonts w:asciiTheme="minorHAnsi" w:hAnsiTheme="minorHAnsi" w:cstheme="minorHAnsi"/>
                <w:color w:val="auto"/>
              </w:rPr>
              <w:t>ackground</w:t>
            </w:r>
          </w:p>
        </w:tc>
        <w:tc>
          <w:tcPr>
            <w:tcW w:w="8725" w:type="dxa"/>
            <w:tcBorders>
              <w:left w:val="none" w:sz="0" w:space="0" w:color="auto"/>
              <w:right w:val="none" w:sz="0" w:space="0" w:color="auto"/>
            </w:tcBorders>
            <w:shd w:val="clear" w:color="auto" w:fill="auto"/>
          </w:tcPr>
          <w:p w:rsidR="00586B9B" w:rsidRPr="00AA568F" w:rsidRDefault="00586B9B" w:rsidP="00586B9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AA568F">
              <w:rPr>
                <w:rFonts w:asciiTheme="minorHAnsi" w:hAnsiTheme="minorHAnsi" w:cstheme="minorHAnsi"/>
                <w:b/>
                <w:color w:val="auto"/>
              </w:rPr>
              <w:t>Background and business context</w:t>
            </w:r>
          </w:p>
          <w:p w:rsidR="00345D99" w:rsidRPr="00AA568F" w:rsidRDefault="00345D99" w:rsidP="00345D99">
            <w:pPr>
              <w:pStyle w:val="NoSpacing"/>
              <w:cnfStyle w:val="000000100000" w:firstRow="0" w:lastRow="0" w:firstColumn="0" w:lastColumn="0" w:oddVBand="0" w:evenVBand="0" w:oddHBand="1" w:evenHBand="0" w:firstRowFirstColumn="0" w:firstRowLastColumn="0" w:lastRowFirstColumn="0" w:lastRowLastColumn="0"/>
              <w:rPr>
                <w:color w:val="auto"/>
              </w:rPr>
            </w:pPr>
            <w:r w:rsidRPr="00AA568F">
              <w:rPr>
                <w:color w:val="auto"/>
              </w:rPr>
              <w:t xml:space="preserve">Due to the scale of funding reductions but also the changing times in which we operate, the City Council has recognised that there is a need for radical change in how our organisation works – its role and functions and the culture that determines how we work together with the people of the city. To address these challenges, the City Council set up the Future Council programme during 2015 to deliver an integrated and strategic approach to managing the necessary changes. This has taken on board all the recommendations of the </w:t>
            </w:r>
            <w:proofErr w:type="spellStart"/>
            <w:r w:rsidRPr="00AA568F">
              <w:rPr>
                <w:color w:val="auto"/>
              </w:rPr>
              <w:t>Kerslake</w:t>
            </w:r>
            <w:proofErr w:type="spellEnd"/>
            <w:r w:rsidRPr="00AA568F">
              <w:rPr>
                <w:color w:val="auto"/>
              </w:rPr>
              <w:t xml:space="preserve"> review of corporate governance, published in December 2014 and the ongoing advice and support from the Improvement Panel set up at the beginning of </w:t>
            </w:r>
            <w:r w:rsidR="00CD04AD" w:rsidRPr="00AA568F">
              <w:rPr>
                <w:color w:val="auto"/>
              </w:rPr>
              <w:t>2015</w:t>
            </w:r>
            <w:r w:rsidRPr="00AA568F">
              <w:rPr>
                <w:color w:val="auto"/>
              </w:rPr>
              <w:t>.</w:t>
            </w:r>
          </w:p>
          <w:p w:rsidR="00345D99" w:rsidRPr="00AA568F" w:rsidRDefault="00345D99" w:rsidP="00345D99">
            <w:pPr>
              <w:pStyle w:val="NoSpacing"/>
              <w:cnfStyle w:val="000000100000" w:firstRow="0" w:lastRow="0" w:firstColumn="0" w:lastColumn="0" w:oddVBand="0" w:evenVBand="0" w:oddHBand="1" w:evenHBand="0" w:firstRowFirstColumn="0" w:firstRowLastColumn="0" w:lastRowFirstColumn="0" w:lastRowLastColumn="0"/>
              <w:rPr>
                <w:color w:val="auto"/>
              </w:rPr>
            </w:pPr>
          </w:p>
          <w:p w:rsidR="00345D99" w:rsidRPr="00AA568F" w:rsidRDefault="00345D99" w:rsidP="00345D99">
            <w:pPr>
              <w:pStyle w:val="NoSpacing"/>
              <w:cnfStyle w:val="000000100000" w:firstRow="0" w:lastRow="0" w:firstColumn="0" w:lastColumn="0" w:oddVBand="0" w:evenVBand="0" w:oddHBand="1" w:evenHBand="0" w:firstRowFirstColumn="0" w:firstRowLastColumn="0" w:lastRowFirstColumn="0" w:lastRowLastColumn="0"/>
              <w:rPr>
                <w:color w:val="auto"/>
              </w:rPr>
            </w:pPr>
            <w:r w:rsidRPr="00AA568F">
              <w:rPr>
                <w:color w:val="auto"/>
              </w:rPr>
              <w:t>A small part of the Future Council programme has focussed on developing pro</w:t>
            </w:r>
            <w:bookmarkStart w:id="0" w:name="_GoBack"/>
            <w:bookmarkEnd w:id="0"/>
            <w:r w:rsidRPr="00AA568F">
              <w:rPr>
                <w:color w:val="auto"/>
              </w:rPr>
              <w:t>posals for the Council’s internal Specialist Care Service (SCS). In November 2015 the Council released its 2016+ Budget proposals for consultation, one of which concern</w:t>
            </w:r>
            <w:r w:rsidR="00FC1F3B">
              <w:rPr>
                <w:color w:val="auto"/>
              </w:rPr>
              <w:t>ed</w:t>
            </w:r>
            <w:r w:rsidRPr="00AA568F">
              <w:rPr>
                <w:color w:val="auto"/>
              </w:rPr>
              <w:t xml:space="preserve"> the </w:t>
            </w:r>
            <w:r w:rsidR="00CD04AD" w:rsidRPr="00AA568F">
              <w:rPr>
                <w:color w:val="auto"/>
              </w:rPr>
              <w:t>four</w:t>
            </w:r>
            <w:r w:rsidRPr="00AA568F">
              <w:rPr>
                <w:color w:val="auto"/>
              </w:rPr>
              <w:t xml:space="preserve"> Care Centres</w:t>
            </w:r>
            <w:r w:rsidR="00CD04AD" w:rsidRPr="00AA568F">
              <w:rPr>
                <w:color w:val="auto"/>
              </w:rPr>
              <w:t xml:space="preserve"> currently owned by Birmingham City Council</w:t>
            </w:r>
            <w:r w:rsidRPr="00AA568F">
              <w:rPr>
                <w:color w:val="auto"/>
              </w:rPr>
              <w:t>.</w:t>
            </w:r>
            <w:r w:rsidR="00F9700F" w:rsidRPr="00AA568F">
              <w:rPr>
                <w:color w:val="auto"/>
              </w:rPr>
              <w:t xml:space="preserve"> </w:t>
            </w:r>
          </w:p>
          <w:p w:rsidR="00FC0FBA" w:rsidRPr="00AA568F" w:rsidRDefault="00FC0FBA" w:rsidP="00345D99">
            <w:pPr>
              <w:pStyle w:val="NoSpacing"/>
              <w:cnfStyle w:val="000000100000" w:firstRow="0" w:lastRow="0" w:firstColumn="0" w:lastColumn="0" w:oddVBand="0" w:evenVBand="0" w:oddHBand="1" w:evenHBand="0" w:firstRowFirstColumn="0" w:firstRowLastColumn="0" w:lastRowFirstColumn="0" w:lastRowLastColumn="0"/>
              <w:rPr>
                <w:color w:val="auto"/>
              </w:rPr>
            </w:pPr>
          </w:p>
          <w:p w:rsidR="00345D99" w:rsidRPr="00AA568F" w:rsidRDefault="00CC2E42" w:rsidP="00345D99">
            <w:pPr>
              <w:pStyle w:val="NoSpacing"/>
              <w:cnfStyle w:val="000000100000" w:firstRow="0" w:lastRow="0" w:firstColumn="0" w:lastColumn="0" w:oddVBand="0" w:evenVBand="0" w:oddHBand="1" w:evenHBand="0" w:firstRowFirstColumn="0" w:firstRowLastColumn="0" w:lastRowFirstColumn="0" w:lastRowLastColumn="0"/>
              <w:rPr>
                <w:color w:val="auto"/>
              </w:rPr>
            </w:pPr>
            <w:r w:rsidRPr="006B5DC4">
              <w:rPr>
                <w:rFonts w:asciiTheme="minorHAnsi" w:hAnsiTheme="minorHAnsi" w:cstheme="minorHAnsi"/>
                <w:color w:val="000000" w:themeColor="text1"/>
              </w:rPr>
              <w:t xml:space="preserve">Further overall details about the Council’s wider approach and the specific proposals can be found in the Council Business Plan and Budget 2016+ Consultation Factsheets. </w:t>
            </w:r>
            <w:r w:rsidRPr="006B5DC4">
              <w:rPr>
                <w:rFonts w:asciiTheme="minorHAnsi" w:hAnsiTheme="minorHAnsi" w:cstheme="minorHAnsi"/>
                <w:bCs/>
                <w:color w:val="000000" w:themeColor="text1"/>
              </w:rPr>
              <w:t xml:space="preserve">This set out a range of proposals to deliver the savings required to balance future budgets as a result of significant cuts to government funding of Birmingham City Council. The Council Business Plan and Budget 2016+ </w:t>
            </w:r>
            <w:proofErr w:type="gramStart"/>
            <w:r w:rsidRPr="006B5DC4">
              <w:rPr>
                <w:rFonts w:asciiTheme="minorHAnsi" w:hAnsiTheme="minorHAnsi" w:cstheme="minorHAnsi"/>
                <w:bCs/>
                <w:color w:val="000000" w:themeColor="text1"/>
              </w:rPr>
              <w:t>was</w:t>
            </w:r>
            <w:proofErr w:type="gramEnd"/>
            <w:r w:rsidRPr="006B5DC4">
              <w:rPr>
                <w:rFonts w:asciiTheme="minorHAnsi" w:hAnsiTheme="minorHAnsi" w:cstheme="minorHAnsi"/>
                <w:bCs/>
                <w:color w:val="000000" w:themeColor="text1"/>
              </w:rPr>
              <w:t xml:space="preserve"> approved in March 2016. </w:t>
            </w:r>
          </w:p>
          <w:p w:rsidR="00345D99" w:rsidRPr="00F13B38" w:rsidRDefault="00345D99" w:rsidP="00345D99">
            <w:pPr>
              <w:spacing w:after="0" w:line="240" w:lineRule="auto"/>
              <w:cnfStyle w:val="000000100000" w:firstRow="0" w:lastRow="0" w:firstColumn="0" w:lastColumn="0" w:oddVBand="0" w:evenVBand="0" w:oddHBand="1" w:evenHBand="0" w:firstRowFirstColumn="0" w:firstRowLastColumn="0" w:lastRowFirstColumn="0" w:lastRowLastColumn="0"/>
              <w:rPr>
                <w:color w:val="auto"/>
              </w:rPr>
            </w:pPr>
          </w:p>
          <w:p w:rsidR="00586B9B" w:rsidRPr="00AA568F" w:rsidRDefault="00586B9B" w:rsidP="00345D99">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AA568F">
              <w:rPr>
                <w:rFonts w:asciiTheme="minorHAnsi" w:hAnsiTheme="minorHAnsi" w:cstheme="minorHAnsi"/>
                <w:b/>
                <w:bCs/>
                <w:color w:val="auto"/>
              </w:rPr>
              <w:t>Vision Statement</w:t>
            </w:r>
          </w:p>
          <w:p w:rsidR="00F96C2F" w:rsidRPr="00F13B38" w:rsidRDefault="00F96C2F" w:rsidP="00F96C2F">
            <w:pPr>
              <w:cnfStyle w:val="000000100000" w:firstRow="0" w:lastRow="0" w:firstColumn="0" w:lastColumn="0" w:oddVBand="0" w:evenVBand="0" w:oddHBand="1" w:evenHBand="0" w:firstRowFirstColumn="0" w:firstRowLastColumn="0" w:lastRowFirstColumn="0" w:lastRowLastColumn="0"/>
              <w:rPr>
                <w:rFonts w:cs="Arial"/>
                <w:bCs/>
                <w:color w:val="auto"/>
              </w:rPr>
            </w:pPr>
            <w:r w:rsidRPr="00AA568F">
              <w:rPr>
                <w:rFonts w:cs="Arial"/>
                <w:bCs/>
                <w:color w:val="auto"/>
              </w:rPr>
              <w:t xml:space="preserve">The Council </w:t>
            </w:r>
            <w:r w:rsidR="00974E13" w:rsidRPr="00F13B38">
              <w:rPr>
                <w:rFonts w:cs="Arial"/>
                <w:bCs/>
                <w:color w:val="auto"/>
              </w:rPr>
              <w:t>recognises that</w:t>
            </w:r>
            <w:r w:rsidRPr="00F13B38">
              <w:rPr>
                <w:rFonts w:cs="Arial"/>
                <w:bCs/>
                <w:color w:val="auto"/>
              </w:rPr>
              <w:t xml:space="preserve"> it cannot provide residential care for older adults in the Care Centres in a way which represents value for money when compared to providers of similar services within the care market. In order to ensure that it achieves better use of public </w:t>
            </w:r>
            <w:r w:rsidR="00CD04AD" w:rsidRPr="00F13B38">
              <w:rPr>
                <w:rFonts w:cs="Arial"/>
                <w:bCs/>
                <w:color w:val="auto"/>
              </w:rPr>
              <w:t>funds</w:t>
            </w:r>
            <w:r w:rsidR="00FC1F3B">
              <w:rPr>
                <w:rFonts w:cs="Arial"/>
                <w:bCs/>
                <w:color w:val="auto"/>
              </w:rPr>
              <w:t>,</w:t>
            </w:r>
            <w:r w:rsidR="00CD04AD" w:rsidRPr="00F13B38">
              <w:rPr>
                <w:rFonts w:cs="Arial"/>
                <w:bCs/>
                <w:color w:val="auto"/>
              </w:rPr>
              <w:t xml:space="preserve"> </w:t>
            </w:r>
            <w:r w:rsidRPr="00F13B38">
              <w:rPr>
                <w:rFonts w:cs="Arial"/>
                <w:bCs/>
                <w:color w:val="auto"/>
              </w:rPr>
              <w:t>it must now explore alternative options for their future operation. These could include:</w:t>
            </w:r>
          </w:p>
          <w:p w:rsidR="00F96C2F" w:rsidRPr="00F13B38" w:rsidRDefault="00F96C2F" w:rsidP="00802A58">
            <w:pPr>
              <w:numPr>
                <w:ilvl w:val="0"/>
                <w:numId w:val="4"/>
              </w:numPr>
              <w:spacing w:before="120" w:after="240" w:line="240" w:lineRule="auto"/>
              <w:cnfStyle w:val="000000100000" w:firstRow="0" w:lastRow="0" w:firstColumn="0" w:lastColumn="0" w:oddVBand="0" w:evenVBand="0" w:oddHBand="1" w:evenHBand="0" w:firstRowFirstColumn="0" w:firstRowLastColumn="0" w:lastRowFirstColumn="0" w:lastRowLastColumn="0"/>
              <w:rPr>
                <w:rFonts w:cs="Arial"/>
                <w:bCs/>
                <w:color w:val="auto"/>
              </w:rPr>
            </w:pPr>
            <w:r w:rsidRPr="00F13B38">
              <w:rPr>
                <w:rFonts w:cs="Arial"/>
                <w:bCs/>
                <w:color w:val="auto"/>
              </w:rPr>
              <w:t xml:space="preserve">Exploring alternative uses for the Care Centres to meet gaps in the </w:t>
            </w:r>
            <w:r w:rsidR="00CD04AD" w:rsidRPr="00F13B38">
              <w:rPr>
                <w:rFonts w:cs="Arial"/>
                <w:bCs/>
                <w:color w:val="auto"/>
              </w:rPr>
              <w:t xml:space="preserve">current </w:t>
            </w:r>
            <w:r w:rsidRPr="00F13B38">
              <w:rPr>
                <w:rFonts w:cs="Arial"/>
                <w:bCs/>
                <w:color w:val="auto"/>
              </w:rPr>
              <w:t xml:space="preserve"> market, including exploring  demand for dementia/enhanced assessment beds</w:t>
            </w:r>
          </w:p>
          <w:p w:rsidR="00F96C2F" w:rsidRPr="00F13B38" w:rsidRDefault="00F96C2F" w:rsidP="00802A58">
            <w:pPr>
              <w:numPr>
                <w:ilvl w:val="0"/>
                <w:numId w:val="4"/>
              </w:numPr>
              <w:spacing w:before="120" w:after="240" w:line="240" w:lineRule="auto"/>
              <w:cnfStyle w:val="000000100000" w:firstRow="0" w:lastRow="0" w:firstColumn="0" w:lastColumn="0" w:oddVBand="0" w:evenVBand="0" w:oddHBand="1" w:evenHBand="0" w:firstRowFirstColumn="0" w:firstRowLastColumn="0" w:lastRowFirstColumn="0" w:lastRowLastColumn="0"/>
              <w:rPr>
                <w:rFonts w:cs="Arial"/>
                <w:bCs/>
                <w:color w:val="auto"/>
              </w:rPr>
            </w:pPr>
            <w:r w:rsidRPr="00F13B38">
              <w:rPr>
                <w:rFonts w:cs="Arial"/>
                <w:bCs/>
                <w:color w:val="auto"/>
              </w:rPr>
              <w:t>Exploring options for further integration and shared use with the National Health Service (NHS) so the Care Centres deliver better health and wellbeing outcomes.</w:t>
            </w:r>
          </w:p>
          <w:p w:rsidR="00802A58" w:rsidRPr="00F13B38" w:rsidRDefault="00F96C2F" w:rsidP="00802A58">
            <w:pPr>
              <w:numPr>
                <w:ilvl w:val="0"/>
                <w:numId w:val="4"/>
              </w:numPr>
              <w:spacing w:before="120" w:after="2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cs="Arial"/>
                <w:bCs/>
                <w:color w:val="auto"/>
              </w:rPr>
              <w:t xml:space="preserve">Exploring options to transfer the operation of the Care Centres to other care providers in </w:t>
            </w:r>
            <w:r w:rsidRPr="00F13B38">
              <w:rPr>
                <w:rFonts w:cs="Arial"/>
                <w:bCs/>
                <w:color w:val="auto"/>
              </w:rPr>
              <w:lastRenderedPageBreak/>
              <w:t>the market.</w:t>
            </w:r>
          </w:p>
          <w:p w:rsidR="00586B9B" w:rsidRPr="00F13B38" w:rsidRDefault="00F96C2F" w:rsidP="00802A58">
            <w:pPr>
              <w:numPr>
                <w:ilvl w:val="0"/>
                <w:numId w:val="4"/>
              </w:numPr>
              <w:spacing w:before="120" w:after="24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cs="Arial"/>
                <w:bCs/>
                <w:color w:val="auto"/>
              </w:rPr>
              <w:t xml:space="preserve">Exploring options to consolidate the </w:t>
            </w:r>
            <w:r w:rsidR="00CD04AD" w:rsidRPr="00F13B38">
              <w:rPr>
                <w:rFonts w:cs="Arial"/>
                <w:bCs/>
                <w:color w:val="auto"/>
              </w:rPr>
              <w:t xml:space="preserve">existing </w:t>
            </w:r>
            <w:r w:rsidRPr="00F13B38">
              <w:rPr>
                <w:rFonts w:cs="Arial"/>
                <w:bCs/>
                <w:color w:val="auto"/>
              </w:rPr>
              <w:t>residential units into one or more Care Centres.</w:t>
            </w:r>
          </w:p>
          <w:p w:rsidR="00586B9B" w:rsidRPr="00F13B38" w:rsidRDefault="00586B9B" w:rsidP="00586B9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color w:val="auto"/>
              </w:rPr>
              <w:t>Outcomes</w:t>
            </w:r>
          </w:p>
          <w:p w:rsidR="00AE7C3B" w:rsidRPr="00F13B38" w:rsidRDefault="00AE7C3B" w:rsidP="00586B9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Vision is intended to deliver the following outcomes:</w:t>
            </w:r>
          </w:p>
          <w:p w:rsidR="00AE7C3B" w:rsidRPr="00F13B38" w:rsidRDefault="00AE7C3B" w:rsidP="00586B9B">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p>
          <w:p w:rsidR="00FC0FBA" w:rsidRPr="00AA568F" w:rsidRDefault="00FC0FBA" w:rsidP="00FC0FBA">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Contribution to the reduction in the Council’s overall workforce</w:t>
            </w:r>
          </w:p>
          <w:p w:rsidR="00FC0FBA" w:rsidRPr="00AA568F" w:rsidRDefault="00FC0FBA" w:rsidP="00FC0FBA">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 xml:space="preserve">A shift away from the internal provision of these services </w:t>
            </w:r>
          </w:p>
          <w:p w:rsidR="00FC0FBA" w:rsidRPr="00AA568F" w:rsidRDefault="00FC0FBA" w:rsidP="00FC0FBA">
            <w:pPr>
              <w:pStyle w:val="ListParagraph"/>
              <w:numPr>
                <w:ilvl w:val="0"/>
                <w:numId w:val="4"/>
              </w:num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To deliver the savings identified in the Council Business Plan and Budget 2016+</w:t>
            </w:r>
            <w:r w:rsidRPr="00AA568F">
              <w:rPr>
                <w:rFonts w:asciiTheme="minorHAnsi" w:hAnsiTheme="minorHAnsi" w:cstheme="minorHAnsi"/>
                <w:color w:val="auto"/>
                <w:sz w:val="22"/>
                <w:szCs w:val="22"/>
              </w:rPr>
              <w:t>.</w:t>
            </w:r>
          </w:p>
          <w:p w:rsidR="00802A58" w:rsidRPr="00F13B38" w:rsidRDefault="00EB6FA4" w:rsidP="00C16EAA">
            <w:pPr>
              <w:pStyle w:val="NoSpacing"/>
              <w:numPr>
                <w:ilvl w:val="0"/>
                <w:numId w:val="4"/>
              </w:numPr>
              <w:cnfStyle w:val="000000100000" w:firstRow="0" w:lastRow="0" w:firstColumn="0" w:lastColumn="0" w:oddVBand="0" w:evenVBand="0" w:oddHBand="1" w:evenHBand="0" w:firstRowFirstColumn="0" w:firstRowLastColumn="0" w:lastRowFirstColumn="0" w:lastRowLastColumn="0"/>
              <w:rPr>
                <w:color w:val="auto"/>
              </w:rPr>
            </w:pPr>
            <w:r w:rsidRPr="00F13B38">
              <w:rPr>
                <w:color w:val="auto"/>
              </w:rPr>
              <w:t xml:space="preserve">Improved use of the Care Centres aligned to their high specification, through the delivery of care and support to people either in need of enablement services or with high intensity dementia support needs  </w:t>
            </w:r>
          </w:p>
          <w:p w:rsidR="00CE28D4" w:rsidRPr="00F13B38" w:rsidRDefault="00CE28D4" w:rsidP="00CE28D4">
            <w:pPr>
              <w:spacing w:after="0"/>
              <w:cnfStyle w:val="000000100000" w:firstRow="0" w:lastRow="0" w:firstColumn="0" w:lastColumn="0" w:oddVBand="0" w:evenVBand="0" w:oddHBand="1" w:evenHBand="0" w:firstRowFirstColumn="0" w:firstRowLastColumn="0" w:lastRowFirstColumn="0" w:lastRowLastColumn="0"/>
              <w:rPr>
                <w:color w:val="auto"/>
              </w:rPr>
            </w:pPr>
          </w:p>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674"/>
              <w:gridCol w:w="1674"/>
              <w:gridCol w:w="1617"/>
              <w:gridCol w:w="1617"/>
            </w:tblGrid>
            <w:tr w:rsidR="00AA568F" w:rsidRPr="00F13B38" w:rsidTr="00802A58">
              <w:trPr>
                <w:trHeight w:val="680"/>
              </w:trPr>
              <w:tc>
                <w:tcPr>
                  <w:tcW w:w="1411" w:type="dxa"/>
                  <w:tcBorders>
                    <w:top w:val="single" w:sz="12" w:space="0" w:color="auto"/>
                    <w:right w:val="single" w:sz="12" w:space="0" w:color="auto"/>
                  </w:tcBorders>
                  <w:shd w:val="clear" w:color="auto" w:fill="92CDDC"/>
                </w:tcPr>
                <w:p w:rsidR="00802A58" w:rsidRPr="00F13B38" w:rsidRDefault="00802A58" w:rsidP="00CE28D4">
                  <w:pPr>
                    <w:spacing w:after="0"/>
                    <w:jc w:val="center"/>
                    <w:rPr>
                      <w:rFonts w:cs="Arial"/>
                    </w:rPr>
                  </w:pPr>
                  <w:r w:rsidRPr="00F13B38">
                    <w:rPr>
                      <w:rFonts w:cs="Arial"/>
                    </w:rPr>
                    <w:t xml:space="preserve">Net Spend   </w:t>
                  </w:r>
                </w:p>
                <w:p w:rsidR="00802A58" w:rsidRPr="00F13B38" w:rsidRDefault="00802A58" w:rsidP="00CE28D4">
                  <w:pPr>
                    <w:spacing w:after="120"/>
                    <w:jc w:val="center"/>
                    <w:rPr>
                      <w:rFonts w:cs="Arial"/>
                    </w:rPr>
                  </w:pPr>
                  <w:r w:rsidRPr="00F13B38">
                    <w:rPr>
                      <w:rFonts w:cs="Arial"/>
                    </w:rPr>
                    <w:t xml:space="preserve">15/16       </w:t>
                  </w:r>
                </w:p>
              </w:tc>
              <w:tc>
                <w:tcPr>
                  <w:tcW w:w="1439" w:type="dxa"/>
                  <w:tcBorders>
                    <w:top w:val="single" w:sz="12" w:space="0" w:color="auto"/>
                    <w:left w:val="single" w:sz="12" w:space="0" w:color="auto"/>
                    <w:bottom w:val="single" w:sz="2" w:space="0" w:color="auto"/>
                    <w:right w:val="single" w:sz="2" w:space="0" w:color="auto"/>
                  </w:tcBorders>
                  <w:shd w:val="clear" w:color="auto" w:fill="auto"/>
                </w:tcPr>
                <w:p w:rsidR="00802A58" w:rsidRPr="00F13B38" w:rsidRDefault="00802A58" w:rsidP="00CE28D4">
                  <w:pPr>
                    <w:spacing w:after="120"/>
                    <w:jc w:val="center"/>
                    <w:rPr>
                      <w:rFonts w:cs="Arial"/>
                    </w:rPr>
                  </w:pPr>
                  <w:r w:rsidRPr="00F13B38">
                    <w:rPr>
                      <w:rFonts w:cs="Arial"/>
                    </w:rPr>
                    <w:t xml:space="preserve">Saving in 16/17 </w:t>
                  </w:r>
                </w:p>
              </w:tc>
              <w:tc>
                <w:tcPr>
                  <w:tcW w:w="1439" w:type="dxa"/>
                  <w:tcBorders>
                    <w:top w:val="single" w:sz="12" w:space="0" w:color="auto"/>
                    <w:left w:val="single" w:sz="2" w:space="0" w:color="auto"/>
                    <w:bottom w:val="single" w:sz="2" w:space="0" w:color="auto"/>
                    <w:right w:val="single" w:sz="2" w:space="0" w:color="auto"/>
                  </w:tcBorders>
                  <w:shd w:val="clear" w:color="auto" w:fill="auto"/>
                </w:tcPr>
                <w:p w:rsidR="00802A58" w:rsidRPr="00F13B38" w:rsidRDefault="00802A58" w:rsidP="00CE28D4">
                  <w:pPr>
                    <w:spacing w:after="120"/>
                    <w:jc w:val="center"/>
                    <w:rPr>
                      <w:rFonts w:cs="Arial"/>
                    </w:rPr>
                  </w:pPr>
                  <w:r w:rsidRPr="00F13B38">
                    <w:rPr>
                      <w:rFonts w:cs="Arial"/>
                    </w:rPr>
                    <w:t xml:space="preserve">Saving in 17/18 </w:t>
                  </w:r>
                </w:p>
              </w:tc>
              <w:tc>
                <w:tcPr>
                  <w:tcW w:w="1390" w:type="dxa"/>
                  <w:tcBorders>
                    <w:top w:val="single" w:sz="12" w:space="0" w:color="auto"/>
                    <w:left w:val="single" w:sz="2" w:space="0" w:color="auto"/>
                    <w:bottom w:val="single" w:sz="2" w:space="0" w:color="auto"/>
                    <w:right w:val="single" w:sz="2" w:space="0" w:color="auto"/>
                  </w:tcBorders>
                </w:tcPr>
                <w:p w:rsidR="00802A58" w:rsidRPr="00F13B38" w:rsidRDefault="00802A58" w:rsidP="00CE28D4">
                  <w:pPr>
                    <w:spacing w:after="120"/>
                    <w:jc w:val="center"/>
                    <w:rPr>
                      <w:rFonts w:cs="Arial"/>
                    </w:rPr>
                  </w:pPr>
                  <w:r w:rsidRPr="00F13B38">
                    <w:rPr>
                      <w:rFonts w:cs="Arial"/>
                    </w:rPr>
                    <w:t xml:space="preserve">Saving in 18/19 </w:t>
                  </w:r>
                </w:p>
              </w:tc>
              <w:tc>
                <w:tcPr>
                  <w:tcW w:w="1390" w:type="dxa"/>
                  <w:tcBorders>
                    <w:top w:val="single" w:sz="12" w:space="0" w:color="auto"/>
                    <w:left w:val="single" w:sz="2" w:space="0" w:color="auto"/>
                    <w:bottom w:val="single" w:sz="2" w:space="0" w:color="auto"/>
                    <w:right w:val="single" w:sz="12" w:space="0" w:color="auto"/>
                  </w:tcBorders>
                  <w:shd w:val="clear" w:color="auto" w:fill="auto"/>
                </w:tcPr>
                <w:p w:rsidR="00802A58" w:rsidRPr="00F13B38" w:rsidRDefault="00802A58" w:rsidP="00CE28D4">
                  <w:pPr>
                    <w:spacing w:after="120"/>
                    <w:jc w:val="center"/>
                    <w:rPr>
                      <w:rFonts w:cs="Arial"/>
                    </w:rPr>
                  </w:pPr>
                  <w:r w:rsidRPr="00F13B38">
                    <w:rPr>
                      <w:rFonts w:cs="Arial"/>
                    </w:rPr>
                    <w:t xml:space="preserve">Saving in 19/20 </w:t>
                  </w:r>
                </w:p>
              </w:tc>
            </w:tr>
            <w:tr w:rsidR="00AA568F" w:rsidRPr="00F13B38" w:rsidTr="00802A58">
              <w:trPr>
                <w:trHeight w:val="373"/>
              </w:trPr>
              <w:tc>
                <w:tcPr>
                  <w:tcW w:w="1411" w:type="dxa"/>
                  <w:tcBorders>
                    <w:bottom w:val="single" w:sz="12" w:space="0" w:color="auto"/>
                    <w:right w:val="single" w:sz="12" w:space="0" w:color="auto"/>
                  </w:tcBorders>
                  <w:shd w:val="clear" w:color="auto" w:fill="92CDDC"/>
                </w:tcPr>
                <w:p w:rsidR="00802A58" w:rsidRPr="00F13B38" w:rsidRDefault="00802A58" w:rsidP="005B032C">
                  <w:pPr>
                    <w:spacing w:before="120" w:after="240"/>
                    <w:jc w:val="center"/>
                    <w:rPr>
                      <w:rFonts w:ascii="Arial" w:hAnsi="Arial" w:cs="Arial"/>
                      <w:b/>
                    </w:rPr>
                  </w:pPr>
                  <w:r w:rsidRPr="00F13B38">
                    <w:rPr>
                      <w:rFonts w:cs="Arial"/>
                      <w:b/>
                    </w:rPr>
                    <w:t>£</w:t>
                  </w:r>
                  <w:r w:rsidR="0079363B">
                    <w:rPr>
                      <w:rFonts w:cs="Arial"/>
                      <w:b/>
                    </w:rPr>
                    <w:t>8.940</w:t>
                  </w:r>
                  <w:r w:rsidRPr="00F13B38">
                    <w:rPr>
                      <w:rFonts w:cs="Arial"/>
                      <w:b/>
                    </w:rPr>
                    <w:t>m</w:t>
                  </w:r>
                </w:p>
              </w:tc>
              <w:tc>
                <w:tcPr>
                  <w:tcW w:w="1439" w:type="dxa"/>
                  <w:tcBorders>
                    <w:top w:val="single" w:sz="2" w:space="0" w:color="auto"/>
                    <w:left w:val="single" w:sz="12" w:space="0" w:color="auto"/>
                    <w:bottom w:val="single" w:sz="12" w:space="0" w:color="auto"/>
                    <w:right w:val="single" w:sz="2" w:space="0" w:color="auto"/>
                  </w:tcBorders>
                  <w:shd w:val="clear" w:color="auto" w:fill="DAEEF3"/>
                </w:tcPr>
                <w:p w:rsidR="00802A58" w:rsidRPr="00F13B38" w:rsidRDefault="00802A58" w:rsidP="00CE28D4">
                  <w:pPr>
                    <w:spacing w:before="120" w:after="240"/>
                    <w:jc w:val="center"/>
                    <w:rPr>
                      <w:rFonts w:ascii="Arial" w:hAnsi="Arial" w:cs="Arial"/>
                    </w:rPr>
                  </w:pPr>
                  <w:r w:rsidRPr="00F13B38">
                    <w:rPr>
                      <w:rFonts w:cs="Arial"/>
                    </w:rPr>
                    <w:t>(£0.300m)</w:t>
                  </w:r>
                </w:p>
              </w:tc>
              <w:tc>
                <w:tcPr>
                  <w:tcW w:w="1439" w:type="dxa"/>
                  <w:tcBorders>
                    <w:top w:val="single" w:sz="2" w:space="0" w:color="auto"/>
                    <w:left w:val="single" w:sz="2" w:space="0" w:color="auto"/>
                    <w:bottom w:val="single" w:sz="12" w:space="0" w:color="auto"/>
                    <w:right w:val="single" w:sz="2" w:space="0" w:color="auto"/>
                  </w:tcBorders>
                  <w:shd w:val="clear" w:color="auto" w:fill="DAEEF3"/>
                </w:tcPr>
                <w:p w:rsidR="00802A58" w:rsidRPr="00F13B38" w:rsidRDefault="00802A58" w:rsidP="00CE28D4">
                  <w:pPr>
                    <w:spacing w:before="120" w:after="240"/>
                    <w:jc w:val="center"/>
                    <w:rPr>
                      <w:rFonts w:ascii="Arial" w:hAnsi="Arial" w:cs="Arial"/>
                    </w:rPr>
                  </w:pPr>
                  <w:r w:rsidRPr="00F13B38">
                    <w:rPr>
                      <w:rFonts w:cs="Arial"/>
                    </w:rPr>
                    <w:t>(£0.700m)</w:t>
                  </w:r>
                </w:p>
              </w:tc>
              <w:tc>
                <w:tcPr>
                  <w:tcW w:w="1390" w:type="dxa"/>
                  <w:tcBorders>
                    <w:top w:val="single" w:sz="2" w:space="0" w:color="auto"/>
                    <w:left w:val="single" w:sz="2" w:space="0" w:color="auto"/>
                    <w:bottom w:val="single" w:sz="12" w:space="0" w:color="auto"/>
                    <w:right w:val="single" w:sz="2" w:space="0" w:color="auto"/>
                  </w:tcBorders>
                  <w:shd w:val="clear" w:color="auto" w:fill="DAEEF3"/>
                </w:tcPr>
                <w:p w:rsidR="00802A58" w:rsidRPr="00F13B38" w:rsidRDefault="00802A58" w:rsidP="00CE28D4">
                  <w:pPr>
                    <w:spacing w:before="120" w:after="240"/>
                    <w:jc w:val="center"/>
                    <w:rPr>
                      <w:rFonts w:ascii="Arial" w:hAnsi="Arial" w:cs="Arial"/>
                    </w:rPr>
                  </w:pPr>
                  <w:r w:rsidRPr="00F13B38">
                    <w:rPr>
                      <w:rFonts w:cs="Arial"/>
                    </w:rPr>
                    <w:t>(£1.500m)</w:t>
                  </w:r>
                </w:p>
              </w:tc>
              <w:tc>
                <w:tcPr>
                  <w:tcW w:w="1390" w:type="dxa"/>
                  <w:tcBorders>
                    <w:top w:val="single" w:sz="2" w:space="0" w:color="auto"/>
                    <w:left w:val="single" w:sz="2" w:space="0" w:color="auto"/>
                    <w:bottom w:val="single" w:sz="12" w:space="0" w:color="auto"/>
                    <w:right w:val="single" w:sz="12" w:space="0" w:color="auto"/>
                  </w:tcBorders>
                  <w:shd w:val="clear" w:color="auto" w:fill="DAEEF3"/>
                </w:tcPr>
                <w:p w:rsidR="00802A58" w:rsidRPr="00F13B38" w:rsidRDefault="00802A58" w:rsidP="00CE28D4">
                  <w:pPr>
                    <w:spacing w:before="120" w:after="240"/>
                    <w:jc w:val="center"/>
                    <w:rPr>
                      <w:rFonts w:ascii="Arial" w:hAnsi="Arial" w:cs="Arial"/>
                    </w:rPr>
                  </w:pPr>
                  <w:r w:rsidRPr="00F13B38">
                    <w:rPr>
                      <w:rFonts w:cs="Arial"/>
                    </w:rPr>
                    <w:t>(£1.500m)</w:t>
                  </w:r>
                </w:p>
              </w:tc>
            </w:tr>
          </w:tbl>
          <w:p w:rsidR="00761D05" w:rsidRPr="00F13B38" w:rsidRDefault="00761D05" w:rsidP="00CE28D4">
            <w:pPr>
              <w:cnfStyle w:val="000000100000" w:firstRow="0" w:lastRow="0" w:firstColumn="0" w:lastColumn="0" w:oddVBand="0" w:evenVBand="0" w:oddHBand="1" w:evenHBand="0" w:firstRowFirstColumn="0" w:firstRowLastColumn="0" w:lastRowFirstColumn="0" w:lastRowLastColumn="0"/>
              <w:rPr>
                <w:color w:val="auto"/>
              </w:rPr>
            </w:pPr>
          </w:p>
          <w:p w:rsidR="00586B9B" w:rsidRPr="00F13B38" w:rsidRDefault="00CE28D4" w:rsidP="00B94A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color w:val="auto"/>
              </w:rPr>
              <w:t xml:space="preserve">The savings </w:t>
            </w:r>
            <w:r w:rsidR="00B94AB4">
              <w:rPr>
                <w:color w:val="auto"/>
              </w:rPr>
              <w:t xml:space="preserve">detailed in the table </w:t>
            </w:r>
            <w:r w:rsidRPr="00F13B38">
              <w:rPr>
                <w:color w:val="auto"/>
              </w:rPr>
              <w:t>above represent the total savings requirement. By 2019/20 the Council has identified it needs to make total saving</w:t>
            </w:r>
            <w:r w:rsidR="00FC1F3B">
              <w:rPr>
                <w:color w:val="auto"/>
              </w:rPr>
              <w:t>s</w:t>
            </w:r>
            <w:r w:rsidRPr="00F13B38">
              <w:rPr>
                <w:color w:val="auto"/>
              </w:rPr>
              <w:t xml:space="preserve"> in this area of £1.5m. It </w:t>
            </w:r>
            <w:r w:rsidR="00B94AB4">
              <w:rPr>
                <w:color w:val="auto"/>
              </w:rPr>
              <w:t xml:space="preserve">projected it </w:t>
            </w:r>
            <w:proofErr w:type="gramStart"/>
            <w:r w:rsidR="00B94AB4">
              <w:rPr>
                <w:color w:val="auto"/>
              </w:rPr>
              <w:t xml:space="preserve">would </w:t>
            </w:r>
            <w:r w:rsidRPr="00F13B38">
              <w:rPr>
                <w:color w:val="auto"/>
              </w:rPr>
              <w:t xml:space="preserve"> do</w:t>
            </w:r>
            <w:proofErr w:type="gramEnd"/>
            <w:r w:rsidRPr="00F13B38">
              <w:rPr>
                <w:color w:val="auto"/>
              </w:rPr>
              <w:t xml:space="preserve"> this by making a saving of £0.3m in 2016/17 followed by and additional £0.4m in 2017/18 and an additional £0.8m in 2018/19.</w:t>
            </w:r>
          </w:p>
        </w:tc>
      </w:tr>
      <w:tr w:rsidR="00AA568F" w:rsidRPr="00F13B38" w:rsidTr="00CC3B49">
        <w:tc>
          <w:tcPr>
            <w:cnfStyle w:val="001000000000" w:firstRow="0" w:lastRow="0" w:firstColumn="1" w:lastColumn="0" w:oddVBand="0" w:evenVBand="0" w:oddHBand="0" w:evenHBand="0" w:firstRowFirstColumn="0" w:firstRowLastColumn="0" w:lastRowFirstColumn="0" w:lastRowLastColumn="0"/>
            <w:tcW w:w="1809" w:type="dxa"/>
            <w:shd w:val="clear" w:color="auto" w:fill="DBE5F1" w:themeFill="accent1" w:themeFillTint="33"/>
          </w:tcPr>
          <w:p w:rsidR="00027470" w:rsidRPr="00F13B38" w:rsidRDefault="00027470" w:rsidP="001A168B">
            <w:pPr>
              <w:spacing w:after="0" w:line="240" w:lineRule="auto"/>
              <w:rPr>
                <w:rFonts w:asciiTheme="minorHAnsi" w:hAnsiTheme="minorHAnsi" w:cstheme="minorHAnsi"/>
                <w:color w:val="auto"/>
              </w:rPr>
            </w:pPr>
            <w:r w:rsidRPr="00F13B38">
              <w:rPr>
                <w:rFonts w:asciiTheme="minorHAnsi" w:hAnsiTheme="minorHAnsi" w:cstheme="minorHAnsi"/>
                <w:color w:val="auto"/>
              </w:rPr>
              <w:lastRenderedPageBreak/>
              <w:t>Service Objectives</w:t>
            </w:r>
          </w:p>
        </w:tc>
        <w:tc>
          <w:tcPr>
            <w:tcW w:w="8725" w:type="dxa"/>
            <w:shd w:val="clear" w:color="auto" w:fill="auto"/>
          </w:tcPr>
          <w:p w:rsidR="00027470" w:rsidRPr="00AA568F" w:rsidRDefault="00027470" w:rsidP="00E45E05">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AA568F">
              <w:rPr>
                <w:rFonts w:asciiTheme="minorHAnsi" w:hAnsiTheme="minorHAnsi" w:cstheme="minorHAnsi"/>
                <w:b/>
                <w:color w:val="auto"/>
              </w:rPr>
              <w:t>The purpose of the service is:</w:t>
            </w:r>
          </w:p>
          <w:p w:rsidR="00F9700F" w:rsidRPr="00F13B38" w:rsidRDefault="00CD04AD" w:rsidP="00F9700F">
            <w:pPr>
              <w:pStyle w:val="NoSpacing"/>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The four Care Centres were built as </w:t>
            </w:r>
            <w:r w:rsidR="00F9700F" w:rsidRPr="00F13B38">
              <w:rPr>
                <w:color w:val="auto"/>
              </w:rPr>
              <w:t>part of the Council’s Older Adults modernisation programme</w:t>
            </w:r>
            <w:r w:rsidR="00FC1F3B">
              <w:rPr>
                <w:color w:val="auto"/>
              </w:rPr>
              <w:t xml:space="preserve">. The </w:t>
            </w:r>
            <w:r w:rsidR="00F9700F" w:rsidRPr="00F13B38">
              <w:rPr>
                <w:color w:val="auto"/>
              </w:rPr>
              <w:t xml:space="preserve">Care Centres provide long and short term residential provision as well as a range of services to enable </w:t>
            </w:r>
            <w:r w:rsidR="00F96C2F" w:rsidRPr="00F13B38">
              <w:rPr>
                <w:color w:val="auto"/>
              </w:rPr>
              <w:t>people to maximise their indepen</w:t>
            </w:r>
            <w:r w:rsidR="00F9700F" w:rsidRPr="00F13B38">
              <w:rPr>
                <w:color w:val="auto"/>
              </w:rPr>
              <w:t>dence.</w:t>
            </w:r>
          </w:p>
          <w:p w:rsidR="00F9700F" w:rsidRPr="00F13B38" w:rsidRDefault="00F9700F" w:rsidP="00F9700F">
            <w:pPr>
              <w:pStyle w:val="NoSpacing"/>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The Centres are currently used to provide a range of services</w:t>
            </w:r>
            <w:r w:rsidR="00CD04AD" w:rsidRPr="00F13B38">
              <w:rPr>
                <w:color w:val="auto"/>
              </w:rPr>
              <w:t xml:space="preserve"> including</w:t>
            </w:r>
            <w:r w:rsidRPr="00F13B38">
              <w:rPr>
                <w:color w:val="auto"/>
              </w:rPr>
              <w:t>:</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Residential Care for older adults</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Intermediate Care (</w:t>
            </w:r>
            <w:r w:rsidR="00CD04AD" w:rsidRPr="00F13B38">
              <w:rPr>
                <w:color w:val="auto"/>
              </w:rPr>
              <w:t xml:space="preserve">for those stepping up/down from/to </w:t>
            </w:r>
            <w:r w:rsidRPr="00F13B38">
              <w:rPr>
                <w:color w:val="auto"/>
              </w:rPr>
              <w:t>hospital )</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Older Adults day care</w:t>
            </w:r>
            <w:r w:rsidR="00CD04AD" w:rsidRPr="00F13B38">
              <w:rPr>
                <w:color w:val="auto"/>
              </w:rPr>
              <w:t xml:space="preserve"> (which is the subject of separate proposals considered </w:t>
            </w:r>
            <w:r w:rsidR="004E4ABC">
              <w:rPr>
                <w:color w:val="auto"/>
              </w:rPr>
              <w:t xml:space="preserve">and approved </w:t>
            </w:r>
            <w:r w:rsidR="00CD04AD" w:rsidRPr="00F13B38">
              <w:rPr>
                <w:color w:val="auto"/>
              </w:rPr>
              <w:t>by Cabinet on 28 June 2016)</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Community café and internet access</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Information and advice hubs</w:t>
            </w:r>
          </w:p>
          <w:p w:rsidR="00F9700F" w:rsidRPr="00F13B38" w:rsidRDefault="00F9700F" w:rsidP="00F9700F">
            <w:pPr>
              <w:pStyle w:val="NoSpacing"/>
              <w:numPr>
                <w:ilvl w:val="1"/>
                <w:numId w:val="8"/>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Rooms for hire which are used by a number of organisations to run activities.</w:t>
            </w:r>
          </w:p>
          <w:p w:rsidR="00F9700F" w:rsidRPr="00F13B38" w:rsidRDefault="00552CC6" w:rsidP="00552CC6">
            <w:pPr>
              <w:pStyle w:val="NoSpacing"/>
              <w:numPr>
                <w:ilvl w:val="0"/>
                <w:numId w:val="8"/>
              </w:numPr>
              <w:cnfStyle w:val="000000000000" w:firstRow="0" w:lastRow="0" w:firstColumn="0" w:lastColumn="0" w:oddVBand="0" w:evenVBand="0" w:oddHBand="0" w:evenHBand="0" w:firstRowFirstColumn="0" w:firstRowLastColumn="0" w:lastRowFirstColumn="0" w:lastRowLastColumn="0"/>
              <w:rPr>
                <w:color w:val="auto"/>
              </w:rPr>
            </w:pPr>
            <w:r w:rsidRPr="00552CC6">
              <w:rPr>
                <w:color w:val="auto"/>
              </w:rPr>
              <w:t xml:space="preserve">The Care Centres each contain 64 beds split over two floors, half of which are used for long term residential care and half of which are used for Intermediate Care or Enhanced Assessment. The Council operates the long term residential services in all of the Care Centres, as well as 32 Enhanced Assessment Beds on the top floor of the </w:t>
            </w:r>
            <w:proofErr w:type="spellStart"/>
            <w:r w:rsidRPr="00552CC6">
              <w:rPr>
                <w:color w:val="auto"/>
              </w:rPr>
              <w:t>Kenrick</w:t>
            </w:r>
            <w:proofErr w:type="spellEnd"/>
            <w:r w:rsidRPr="00552CC6">
              <w:rPr>
                <w:color w:val="auto"/>
              </w:rPr>
              <w:t xml:space="preserve"> Centre.  There are currently 64 of </w:t>
            </w:r>
            <w:r w:rsidR="00974E13" w:rsidRPr="00552CC6">
              <w:rPr>
                <w:color w:val="auto"/>
              </w:rPr>
              <w:t>the remaining</w:t>
            </w:r>
            <w:r w:rsidRPr="00552CC6">
              <w:rPr>
                <w:color w:val="auto"/>
              </w:rPr>
              <w:t xml:space="preserve"> 96 short term </w:t>
            </w:r>
            <w:r w:rsidR="00974E13" w:rsidRPr="00552CC6">
              <w:rPr>
                <w:color w:val="auto"/>
              </w:rPr>
              <w:t>beds Intermediate</w:t>
            </w:r>
            <w:r w:rsidRPr="00552CC6">
              <w:rPr>
                <w:color w:val="auto"/>
              </w:rPr>
              <w:t xml:space="preserve"> Care/short terms beds are currently leased to Birmingham Community Healthcare NHS Trust for the delivery of Intermediate Care.  </w:t>
            </w:r>
            <w:proofErr w:type="spellStart"/>
            <w:r w:rsidR="00974E13">
              <w:t>However,t</w:t>
            </w:r>
            <w:r w:rsidR="00974E13" w:rsidRPr="00552CC6">
              <w:rPr>
                <w:color w:val="auto"/>
              </w:rPr>
              <w:t>he</w:t>
            </w:r>
            <w:proofErr w:type="spellEnd"/>
            <w:r w:rsidRPr="00552CC6">
              <w:rPr>
                <w:color w:val="auto"/>
              </w:rPr>
              <w:t xml:space="preserve"> remaining  the 32 Intermediate Care beds at the Norman Power Centre have recently been decommissioned by the Birmingham Community Healthcare NHS Trust  .</w:t>
            </w:r>
          </w:p>
          <w:p w:rsidR="00F9700F" w:rsidRPr="00F13B38" w:rsidRDefault="00F9700F" w:rsidP="00F9700F">
            <w:pPr>
              <w:pStyle w:val="NoSpacing"/>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The Care Act 2014 places the duty on Local Authorities to meet the </w:t>
            </w:r>
            <w:r w:rsidR="00CE11E9" w:rsidRPr="00F13B38">
              <w:rPr>
                <w:color w:val="auto"/>
              </w:rPr>
              <w:t xml:space="preserve">assessed </w:t>
            </w:r>
            <w:r w:rsidRPr="00F13B38">
              <w:rPr>
                <w:color w:val="auto"/>
              </w:rPr>
              <w:t>eligible care and support needs of individuals and their carers when assessed against the National Eligibility Framework. While the Local Authority is not duty bound as an organisation to deliver or provide the care and support</w:t>
            </w:r>
            <w:r w:rsidR="00CE11E9" w:rsidRPr="00F13B38">
              <w:rPr>
                <w:color w:val="auto"/>
              </w:rPr>
              <w:t xml:space="preserve"> itself</w:t>
            </w:r>
            <w:r w:rsidRPr="00F13B38">
              <w:rPr>
                <w:color w:val="auto"/>
              </w:rPr>
              <w:t>, it must ensur</w:t>
            </w:r>
            <w:r w:rsidR="00CE11E9" w:rsidRPr="00F13B38">
              <w:rPr>
                <w:color w:val="auto"/>
              </w:rPr>
              <w:t>e</w:t>
            </w:r>
            <w:r w:rsidRPr="00F13B38">
              <w:rPr>
                <w:color w:val="auto"/>
              </w:rPr>
              <w:t xml:space="preserve"> sufficiency of provision – in terms of both capacity and capability – to meet anticipated needs for all people in their </w:t>
            </w:r>
            <w:r w:rsidRPr="00F13B38">
              <w:rPr>
                <w:color w:val="auto"/>
              </w:rPr>
              <w:lastRenderedPageBreak/>
              <w:t xml:space="preserve">area </w:t>
            </w:r>
            <w:r w:rsidR="00CE11E9" w:rsidRPr="00F13B38">
              <w:rPr>
                <w:color w:val="auto"/>
              </w:rPr>
              <w:t>who have eligible needs for care and support</w:t>
            </w:r>
            <w:r w:rsidRPr="00F13B38">
              <w:rPr>
                <w:color w:val="auto"/>
              </w:rPr>
              <w:t>.</w:t>
            </w:r>
          </w:p>
          <w:p w:rsidR="00F9700F" w:rsidRPr="00F13B38" w:rsidRDefault="00F9700F" w:rsidP="00F9700F">
            <w:pPr>
              <w:pStyle w:val="NoSpacing"/>
              <w:numPr>
                <w:ilvl w:val="0"/>
                <w:numId w:val="8"/>
              </w:num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The </w:t>
            </w:r>
            <w:r w:rsidR="00F96C2F" w:rsidRPr="00F13B38">
              <w:rPr>
                <w:color w:val="auto"/>
              </w:rPr>
              <w:t>bed based</w:t>
            </w:r>
            <w:r w:rsidRPr="00F13B38">
              <w:rPr>
                <w:color w:val="auto"/>
              </w:rPr>
              <w:t xml:space="preserve"> services in the Care Centres are regulated by the Care Quality Commission.</w:t>
            </w:r>
          </w:p>
          <w:p w:rsidR="008367A9" w:rsidRPr="00F13B38" w:rsidRDefault="008367A9" w:rsidP="00CE28D4">
            <w:pPr>
              <w:pStyle w:val="NoSpacing"/>
              <w:autoSpaceDE w:val="0"/>
              <w:autoSpaceDN w:val="0"/>
              <w:adjustRightInd w:val="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p>
        </w:tc>
      </w:tr>
      <w:tr w:rsidR="00AA568F" w:rsidRPr="00F13B38" w:rsidTr="00FB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shd w:val="clear" w:color="auto" w:fill="DBE5F1" w:themeFill="accent1" w:themeFillTint="33"/>
          </w:tcPr>
          <w:p w:rsidR="00E45E05" w:rsidRPr="00F13B38" w:rsidRDefault="00E45E05" w:rsidP="001A168B">
            <w:pPr>
              <w:spacing w:after="0" w:line="240" w:lineRule="auto"/>
              <w:rPr>
                <w:rFonts w:asciiTheme="minorHAnsi" w:hAnsiTheme="minorHAnsi" w:cstheme="minorHAnsi"/>
                <w:b w:val="0"/>
                <w:color w:val="auto"/>
              </w:rPr>
            </w:pPr>
            <w:r w:rsidRPr="00F13B38">
              <w:rPr>
                <w:rFonts w:asciiTheme="minorHAnsi" w:hAnsiTheme="minorHAnsi" w:cstheme="minorHAnsi"/>
                <w:color w:val="auto"/>
              </w:rPr>
              <w:lastRenderedPageBreak/>
              <w:t>Service Demographics</w:t>
            </w:r>
          </w:p>
        </w:tc>
        <w:tc>
          <w:tcPr>
            <w:tcW w:w="8725" w:type="dxa"/>
            <w:tcBorders>
              <w:left w:val="none" w:sz="0" w:space="0" w:color="auto"/>
              <w:right w:val="none" w:sz="0" w:space="0" w:color="auto"/>
            </w:tcBorders>
            <w:shd w:val="clear" w:color="auto" w:fill="auto"/>
          </w:tcPr>
          <w:p w:rsidR="00C17753" w:rsidRPr="00F13B38" w:rsidRDefault="00C17753"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color w:val="auto"/>
              </w:rPr>
              <w:t>Service locations</w:t>
            </w:r>
          </w:p>
          <w:p w:rsidR="00CE28D4" w:rsidRPr="00F13B38" w:rsidRDefault="00CE28D4" w:rsidP="00CE28D4">
            <w:pPr>
              <w:pStyle w:val="NoSpacing"/>
              <w:cnfStyle w:val="000000100000" w:firstRow="0" w:lastRow="0" w:firstColumn="0" w:lastColumn="0" w:oddVBand="0" w:evenVBand="0" w:oddHBand="1" w:evenHBand="0" w:firstRowFirstColumn="0" w:firstRowLastColumn="0" w:lastRowFirstColumn="0" w:lastRowLastColumn="0"/>
              <w:rPr>
                <w:color w:val="auto"/>
              </w:rPr>
            </w:pPr>
            <w:r w:rsidRPr="00F13B38">
              <w:rPr>
                <w:color w:val="auto"/>
              </w:rPr>
              <w:t xml:space="preserve">There are </w:t>
            </w:r>
            <w:r w:rsidR="00CD04AD" w:rsidRPr="00F13B38">
              <w:rPr>
                <w:color w:val="auto"/>
              </w:rPr>
              <w:t>four</w:t>
            </w:r>
            <w:r w:rsidRPr="00F13B38">
              <w:rPr>
                <w:color w:val="auto"/>
              </w:rPr>
              <w:t xml:space="preserve"> Care Centres:</w:t>
            </w:r>
          </w:p>
          <w:p w:rsidR="00CE28D4" w:rsidRPr="00F13B38" w:rsidRDefault="007318F9" w:rsidP="00CE28D4">
            <w:pPr>
              <w:pStyle w:val="NoSpacing"/>
              <w:numPr>
                <w:ilvl w:val="0"/>
                <w:numId w:val="31"/>
              </w:numPr>
              <w:cnfStyle w:val="000000100000" w:firstRow="0" w:lastRow="0" w:firstColumn="0" w:lastColumn="0" w:oddVBand="0" w:evenVBand="0" w:oddHBand="1" w:evenHBand="0" w:firstRowFirstColumn="0" w:firstRowLastColumn="0" w:lastRowFirstColumn="0" w:lastRowLastColumn="0"/>
              <w:rPr>
                <w:color w:val="auto"/>
              </w:rPr>
            </w:pPr>
            <w:r w:rsidRPr="00AA568F">
              <w:rPr>
                <w:color w:val="auto"/>
              </w:rPr>
              <w:t>N</w:t>
            </w:r>
            <w:r w:rsidRPr="00F13B38">
              <w:rPr>
                <w:color w:val="auto"/>
              </w:rPr>
              <w:t>orman Power Centre in Ladywood</w:t>
            </w:r>
          </w:p>
          <w:p w:rsidR="00CE28D4" w:rsidRPr="00F13B38" w:rsidRDefault="007318F9" w:rsidP="00CE28D4">
            <w:pPr>
              <w:pStyle w:val="NoSpacing"/>
              <w:numPr>
                <w:ilvl w:val="0"/>
                <w:numId w:val="31"/>
              </w:numPr>
              <w:cnfStyle w:val="000000100000" w:firstRow="0" w:lastRow="0" w:firstColumn="0" w:lastColumn="0" w:oddVBand="0" w:evenVBand="0" w:oddHBand="1" w:evenHBand="0" w:firstRowFirstColumn="0" w:firstRowLastColumn="0" w:lastRowFirstColumn="0" w:lastRowLastColumn="0"/>
              <w:rPr>
                <w:color w:val="auto"/>
              </w:rPr>
            </w:pPr>
            <w:r w:rsidRPr="00F13B38">
              <w:rPr>
                <w:color w:val="auto"/>
              </w:rPr>
              <w:t xml:space="preserve">Perry Tree Centre in </w:t>
            </w:r>
            <w:r w:rsidR="00CD04AD" w:rsidRPr="00F13B38">
              <w:rPr>
                <w:color w:val="auto"/>
              </w:rPr>
              <w:t>Erdington</w:t>
            </w:r>
          </w:p>
          <w:p w:rsidR="00CE28D4" w:rsidRPr="00F13B38" w:rsidRDefault="00CE28D4" w:rsidP="00CE28D4">
            <w:pPr>
              <w:pStyle w:val="NoSpacing"/>
              <w:numPr>
                <w:ilvl w:val="0"/>
                <w:numId w:val="31"/>
              </w:numPr>
              <w:cnfStyle w:val="000000100000" w:firstRow="0" w:lastRow="0" w:firstColumn="0" w:lastColumn="0" w:oddVBand="0" w:evenVBand="0" w:oddHBand="1" w:evenHBand="0" w:firstRowFirstColumn="0" w:firstRowLastColumn="0" w:lastRowFirstColumn="0" w:lastRowLastColumn="0"/>
              <w:rPr>
                <w:color w:val="auto"/>
              </w:rPr>
            </w:pPr>
            <w:r w:rsidRPr="00F13B38">
              <w:rPr>
                <w:color w:val="auto"/>
              </w:rPr>
              <w:t>Anne Marie-</w:t>
            </w:r>
            <w:proofErr w:type="spellStart"/>
            <w:r w:rsidRPr="00F13B38">
              <w:rPr>
                <w:color w:val="auto"/>
              </w:rPr>
              <w:t>Howes</w:t>
            </w:r>
            <w:proofErr w:type="spellEnd"/>
            <w:r w:rsidRPr="00F13B38">
              <w:rPr>
                <w:color w:val="auto"/>
              </w:rPr>
              <w:t xml:space="preserve"> Centre in Sheldon </w:t>
            </w:r>
          </w:p>
          <w:p w:rsidR="00CE28D4" w:rsidRPr="00F13B38" w:rsidRDefault="007318F9" w:rsidP="00CE28D4">
            <w:pPr>
              <w:pStyle w:val="NoSpacing"/>
              <w:numPr>
                <w:ilvl w:val="0"/>
                <w:numId w:val="31"/>
              </w:numPr>
              <w:cnfStyle w:val="000000100000" w:firstRow="0" w:lastRow="0" w:firstColumn="0" w:lastColumn="0" w:oddVBand="0" w:evenVBand="0" w:oddHBand="1" w:evenHBand="0" w:firstRowFirstColumn="0" w:firstRowLastColumn="0" w:lastRowFirstColumn="0" w:lastRowLastColumn="0"/>
              <w:rPr>
                <w:color w:val="auto"/>
              </w:rPr>
            </w:pPr>
            <w:proofErr w:type="spellStart"/>
            <w:r w:rsidRPr="00F13B38">
              <w:rPr>
                <w:color w:val="auto"/>
              </w:rPr>
              <w:t>Kenrick</w:t>
            </w:r>
            <w:proofErr w:type="spellEnd"/>
            <w:r w:rsidRPr="00F13B38">
              <w:rPr>
                <w:color w:val="auto"/>
              </w:rPr>
              <w:t xml:space="preserve"> Centre in </w:t>
            </w:r>
            <w:proofErr w:type="spellStart"/>
            <w:r w:rsidRPr="00F13B38">
              <w:rPr>
                <w:color w:val="auto"/>
              </w:rPr>
              <w:t>Harborne</w:t>
            </w:r>
            <w:proofErr w:type="spellEnd"/>
          </w:p>
          <w:p w:rsidR="00027470" w:rsidRPr="00F13B38" w:rsidRDefault="00027470"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p>
          <w:p w:rsidR="00C17753" w:rsidRPr="00F13B38" w:rsidRDefault="00C17753"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color w:val="auto"/>
              </w:rPr>
              <w:t>Service users</w:t>
            </w:r>
          </w:p>
          <w:p w:rsidR="00CD04AD" w:rsidRPr="00AA568F" w:rsidRDefault="00CD04AD"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F13B38">
              <w:rPr>
                <w:rFonts w:cs="Arial"/>
                <w:color w:val="auto"/>
              </w:rPr>
              <w:t xml:space="preserve">The </w:t>
            </w:r>
            <w:r w:rsidR="00761D05" w:rsidRPr="00AA568F">
              <w:rPr>
                <w:rFonts w:cs="Arial"/>
                <w:color w:val="auto"/>
              </w:rPr>
              <w:t xml:space="preserve">long </w:t>
            </w:r>
            <w:r w:rsidR="00761D05" w:rsidRPr="00F13B38">
              <w:rPr>
                <w:rFonts w:cs="Arial"/>
                <w:color w:val="auto"/>
              </w:rPr>
              <w:t>and short term residential</w:t>
            </w:r>
            <w:r w:rsidRPr="00F13B38">
              <w:rPr>
                <w:rFonts w:cs="Arial"/>
                <w:color w:val="auto"/>
              </w:rPr>
              <w:t xml:space="preserve"> service is accessed via a social work assessment of need for care and support, confirming the person has an eligible need for care and support.  </w:t>
            </w:r>
          </w:p>
          <w:p w:rsidR="00CD04AD" w:rsidRPr="00F13B38" w:rsidRDefault="00CD04AD"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cs="Arial"/>
                <w:color w:val="auto"/>
              </w:rPr>
            </w:pPr>
          </w:p>
          <w:p w:rsidR="00105291" w:rsidRPr="00F13B38" w:rsidRDefault="007318F9"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AA568F">
              <w:rPr>
                <w:rFonts w:asciiTheme="minorHAnsi" w:hAnsiTheme="minorHAnsi" w:cstheme="minorHAnsi"/>
                <w:color w:val="auto"/>
              </w:rPr>
              <w:t>The residential care beds are occupied by older adults</w:t>
            </w:r>
            <w:r w:rsidR="00CD04AD" w:rsidRPr="00F13B38">
              <w:rPr>
                <w:rFonts w:asciiTheme="minorHAnsi" w:hAnsiTheme="minorHAnsi" w:cstheme="minorHAnsi"/>
                <w:color w:val="auto"/>
              </w:rPr>
              <w:t xml:space="preserve"> (those aged over 65 years old)</w:t>
            </w:r>
            <w:r w:rsidR="00142B50" w:rsidRPr="00F13B38">
              <w:rPr>
                <w:rFonts w:asciiTheme="minorHAnsi" w:hAnsiTheme="minorHAnsi" w:cstheme="minorHAnsi"/>
                <w:color w:val="auto"/>
              </w:rPr>
              <w:t>, who are either frail and elderly or h</w:t>
            </w:r>
            <w:r w:rsidRPr="00F13B38">
              <w:rPr>
                <w:rFonts w:asciiTheme="minorHAnsi" w:hAnsiTheme="minorHAnsi" w:cstheme="minorHAnsi"/>
                <w:color w:val="auto"/>
              </w:rPr>
              <w:t>ave a diagnosis of dementia.</w:t>
            </w:r>
          </w:p>
          <w:p w:rsidR="00684010" w:rsidRPr="00F13B38" w:rsidRDefault="00684010"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rsidR="007318F9" w:rsidRPr="00F13B38" w:rsidRDefault="00CD04AD"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Occupancy in the i</w:t>
            </w:r>
            <w:r w:rsidR="00684010" w:rsidRPr="00F13B38">
              <w:rPr>
                <w:rFonts w:asciiTheme="minorHAnsi" w:hAnsiTheme="minorHAnsi" w:cstheme="minorHAnsi"/>
                <w:color w:val="auto"/>
              </w:rPr>
              <w:t>ntermediate care beds</w:t>
            </w:r>
            <w:r w:rsidRPr="00F13B38">
              <w:rPr>
                <w:rFonts w:asciiTheme="minorHAnsi" w:hAnsiTheme="minorHAnsi" w:cstheme="minorHAnsi"/>
                <w:color w:val="auto"/>
              </w:rPr>
              <w:t xml:space="preserve"> - which are run and managed by the Birmingham Community Healthcare NHS Trust</w:t>
            </w:r>
            <w:r w:rsidR="00684010" w:rsidRPr="00F13B38">
              <w:rPr>
                <w:rFonts w:asciiTheme="minorHAnsi" w:hAnsiTheme="minorHAnsi" w:cstheme="minorHAnsi"/>
                <w:color w:val="auto"/>
              </w:rPr>
              <w:t xml:space="preserve"> </w:t>
            </w:r>
            <w:r w:rsidRPr="00F13B38">
              <w:rPr>
                <w:rFonts w:asciiTheme="minorHAnsi" w:hAnsiTheme="minorHAnsi" w:cstheme="minorHAnsi"/>
                <w:color w:val="auto"/>
              </w:rPr>
              <w:t xml:space="preserve">- </w:t>
            </w:r>
            <w:r w:rsidR="00684010" w:rsidRPr="00F13B38">
              <w:rPr>
                <w:rFonts w:asciiTheme="minorHAnsi" w:hAnsiTheme="minorHAnsi" w:cstheme="minorHAnsi"/>
                <w:color w:val="auto"/>
              </w:rPr>
              <w:t>fluctuates.</w:t>
            </w:r>
            <w:r w:rsidR="00A30C39" w:rsidRPr="00F13B38">
              <w:rPr>
                <w:rFonts w:asciiTheme="minorHAnsi" w:hAnsiTheme="minorHAnsi" w:cstheme="minorHAnsi"/>
                <w:color w:val="auto"/>
              </w:rPr>
              <w:t xml:space="preserve"> Currently the 32 beds in Norman Power Centre are not in use after they were decommissioned.</w:t>
            </w:r>
          </w:p>
          <w:p w:rsidR="00684010" w:rsidRPr="00F13B38" w:rsidRDefault="00684010" w:rsidP="00E45E05">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p>
          <w:p w:rsidR="00302EC8" w:rsidRPr="00F13B38" w:rsidRDefault="00302EC8" w:rsidP="00302EC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color w:val="auto"/>
              </w:rPr>
              <w:t>Employees</w:t>
            </w:r>
          </w:p>
          <w:p w:rsidR="00302EC8" w:rsidRPr="00F13B38" w:rsidRDefault="00302EC8" w:rsidP="00302EC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service employs the following numbers of staff.</w:t>
            </w:r>
          </w:p>
          <w:p w:rsidR="00302EC8" w:rsidRPr="00F13B38" w:rsidRDefault="00302EC8" w:rsidP="00302EC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bl>
            <w:tblPr>
              <w:tblW w:w="7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0"/>
              <w:gridCol w:w="1970"/>
              <w:gridCol w:w="1762"/>
            </w:tblGrid>
            <w:tr w:rsidR="00AA568F" w:rsidRPr="00F13B38" w:rsidTr="00931BF7">
              <w:tc>
                <w:tcPr>
                  <w:tcW w:w="3660" w:type="dxa"/>
                  <w:shd w:val="clear" w:color="auto" w:fill="C4BC96" w:themeFill="background2" w:themeFillShade="BF"/>
                </w:tcPr>
                <w:p w:rsidR="00302EC8" w:rsidRPr="00F13B38" w:rsidRDefault="00302EC8" w:rsidP="00931BF7">
                  <w:pPr>
                    <w:rPr>
                      <w:rFonts w:asciiTheme="minorHAnsi" w:hAnsiTheme="minorHAnsi" w:cstheme="minorHAnsi"/>
                    </w:rPr>
                  </w:pPr>
                  <w:r w:rsidRPr="00F13B38">
                    <w:rPr>
                      <w:rFonts w:asciiTheme="minorHAnsi" w:hAnsiTheme="minorHAnsi" w:cstheme="minorHAnsi"/>
                    </w:rPr>
                    <w:t>Staff Grade</w:t>
                  </w:r>
                </w:p>
              </w:tc>
              <w:tc>
                <w:tcPr>
                  <w:tcW w:w="1970" w:type="dxa"/>
                  <w:shd w:val="clear" w:color="auto" w:fill="C4BC96" w:themeFill="background2" w:themeFillShade="BF"/>
                </w:tcPr>
                <w:p w:rsidR="00302EC8" w:rsidRPr="00F13B38" w:rsidRDefault="00302EC8" w:rsidP="00931BF7">
                  <w:pPr>
                    <w:rPr>
                      <w:rFonts w:asciiTheme="minorHAnsi" w:hAnsiTheme="minorHAnsi" w:cstheme="minorHAnsi"/>
                    </w:rPr>
                  </w:pPr>
                  <w:r w:rsidRPr="00F13B38">
                    <w:rPr>
                      <w:rFonts w:asciiTheme="minorHAnsi" w:hAnsiTheme="minorHAnsi" w:cstheme="minorHAnsi"/>
                    </w:rPr>
                    <w:t>FTE</w:t>
                  </w:r>
                </w:p>
              </w:tc>
              <w:tc>
                <w:tcPr>
                  <w:tcW w:w="1762" w:type="dxa"/>
                  <w:shd w:val="clear" w:color="auto" w:fill="C4BC96" w:themeFill="background2" w:themeFillShade="BF"/>
                </w:tcPr>
                <w:p w:rsidR="00302EC8" w:rsidRPr="00F13B38" w:rsidRDefault="00302EC8" w:rsidP="00931BF7">
                  <w:pPr>
                    <w:rPr>
                      <w:rFonts w:asciiTheme="minorHAnsi" w:hAnsiTheme="minorHAnsi" w:cstheme="minorHAnsi"/>
                    </w:rPr>
                  </w:pPr>
                  <w:r w:rsidRPr="00F13B38">
                    <w:rPr>
                      <w:rFonts w:asciiTheme="minorHAnsi" w:hAnsiTheme="minorHAnsi" w:cstheme="minorHAnsi"/>
                    </w:rPr>
                    <w:t>Head Count</w:t>
                  </w:r>
                </w:p>
              </w:tc>
            </w:tr>
            <w:tr w:rsidR="00AA568F" w:rsidRPr="00F13B38" w:rsidTr="00931BF7">
              <w:tc>
                <w:tcPr>
                  <w:tcW w:w="3660" w:type="dxa"/>
                  <w:shd w:val="clear" w:color="auto" w:fill="auto"/>
                </w:tcPr>
                <w:p w:rsidR="00302EC8" w:rsidRPr="00F13B38" w:rsidRDefault="00302EC8" w:rsidP="00931BF7">
                  <w:pPr>
                    <w:rPr>
                      <w:rFonts w:asciiTheme="minorHAnsi" w:hAnsiTheme="minorHAnsi" w:cstheme="minorHAnsi"/>
                    </w:rPr>
                  </w:pPr>
                  <w:r w:rsidRPr="00F13B38">
                    <w:rPr>
                      <w:rFonts w:asciiTheme="minorHAnsi" w:hAnsiTheme="minorHAnsi" w:cstheme="minorHAnsi"/>
                    </w:rPr>
                    <w:t>GR5</w:t>
                  </w:r>
                </w:p>
              </w:tc>
              <w:tc>
                <w:tcPr>
                  <w:tcW w:w="1970"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6</w:t>
                  </w:r>
                </w:p>
              </w:tc>
              <w:tc>
                <w:tcPr>
                  <w:tcW w:w="1762"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6</w:t>
                  </w:r>
                </w:p>
              </w:tc>
            </w:tr>
            <w:tr w:rsidR="00AA568F" w:rsidRPr="00F13B38" w:rsidTr="00931BF7">
              <w:tc>
                <w:tcPr>
                  <w:tcW w:w="3660" w:type="dxa"/>
                  <w:shd w:val="clear" w:color="auto" w:fill="auto"/>
                </w:tcPr>
                <w:p w:rsidR="00302EC8" w:rsidRPr="00F13B38" w:rsidRDefault="00302EC8" w:rsidP="00931BF7">
                  <w:pPr>
                    <w:rPr>
                      <w:rFonts w:asciiTheme="minorHAnsi" w:hAnsiTheme="minorHAnsi" w:cstheme="minorHAnsi"/>
                    </w:rPr>
                  </w:pPr>
                  <w:r w:rsidRPr="00F13B38">
                    <w:rPr>
                      <w:rFonts w:asciiTheme="minorHAnsi" w:hAnsiTheme="minorHAnsi" w:cstheme="minorHAnsi"/>
                    </w:rPr>
                    <w:t>GR4</w:t>
                  </w:r>
                </w:p>
              </w:tc>
              <w:tc>
                <w:tcPr>
                  <w:tcW w:w="1970"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21</w:t>
                  </w:r>
                </w:p>
              </w:tc>
              <w:tc>
                <w:tcPr>
                  <w:tcW w:w="1762"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21</w:t>
                  </w:r>
                </w:p>
              </w:tc>
            </w:tr>
            <w:tr w:rsidR="00AA568F" w:rsidRPr="00F13B38" w:rsidTr="00931BF7">
              <w:tc>
                <w:tcPr>
                  <w:tcW w:w="3660" w:type="dxa"/>
                  <w:shd w:val="clear" w:color="auto" w:fill="auto"/>
                </w:tcPr>
                <w:p w:rsidR="00302EC8" w:rsidRPr="00F13B38" w:rsidRDefault="00302EC8" w:rsidP="00931BF7">
                  <w:pPr>
                    <w:rPr>
                      <w:rFonts w:asciiTheme="minorHAnsi" w:hAnsiTheme="minorHAnsi" w:cstheme="minorHAnsi"/>
                    </w:rPr>
                  </w:pPr>
                  <w:r w:rsidRPr="00F13B38">
                    <w:rPr>
                      <w:rFonts w:asciiTheme="minorHAnsi" w:hAnsiTheme="minorHAnsi" w:cstheme="minorHAnsi"/>
                    </w:rPr>
                    <w:t>GR3</w:t>
                  </w:r>
                </w:p>
              </w:tc>
              <w:tc>
                <w:tcPr>
                  <w:tcW w:w="1970"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36.5</w:t>
                  </w:r>
                </w:p>
              </w:tc>
              <w:tc>
                <w:tcPr>
                  <w:tcW w:w="1762"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38</w:t>
                  </w:r>
                </w:p>
              </w:tc>
            </w:tr>
            <w:tr w:rsidR="00AA568F" w:rsidRPr="00F13B38" w:rsidTr="00931BF7">
              <w:tc>
                <w:tcPr>
                  <w:tcW w:w="3660" w:type="dxa"/>
                  <w:shd w:val="clear" w:color="auto" w:fill="auto"/>
                </w:tcPr>
                <w:p w:rsidR="00302EC8" w:rsidRPr="00F13B38" w:rsidRDefault="00302EC8" w:rsidP="00931BF7">
                  <w:pPr>
                    <w:rPr>
                      <w:rFonts w:asciiTheme="minorHAnsi" w:hAnsiTheme="minorHAnsi" w:cstheme="minorHAnsi"/>
                    </w:rPr>
                  </w:pPr>
                  <w:r w:rsidRPr="00F13B38">
                    <w:rPr>
                      <w:rFonts w:asciiTheme="minorHAnsi" w:hAnsiTheme="minorHAnsi" w:cstheme="minorHAnsi"/>
                    </w:rPr>
                    <w:t>GR2</w:t>
                  </w:r>
                </w:p>
              </w:tc>
              <w:tc>
                <w:tcPr>
                  <w:tcW w:w="1970"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61.6</w:t>
                  </w:r>
                </w:p>
              </w:tc>
              <w:tc>
                <w:tcPr>
                  <w:tcW w:w="1762" w:type="dxa"/>
                  <w:shd w:val="clear" w:color="auto" w:fill="auto"/>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103</w:t>
                  </w:r>
                </w:p>
              </w:tc>
            </w:tr>
            <w:tr w:rsidR="00AA568F" w:rsidRPr="00F13B38" w:rsidTr="00931BF7">
              <w:tc>
                <w:tcPr>
                  <w:tcW w:w="3660" w:type="dxa"/>
                  <w:shd w:val="clear" w:color="auto" w:fill="auto"/>
                </w:tcPr>
                <w:p w:rsidR="002E6137" w:rsidRPr="00F13B38" w:rsidRDefault="002E6137" w:rsidP="00931BF7">
                  <w:pPr>
                    <w:rPr>
                      <w:rFonts w:asciiTheme="minorHAnsi" w:hAnsiTheme="minorHAnsi" w:cstheme="minorHAnsi"/>
                    </w:rPr>
                  </w:pPr>
                  <w:r w:rsidRPr="00F13B38">
                    <w:rPr>
                      <w:rFonts w:asciiTheme="minorHAnsi" w:hAnsiTheme="minorHAnsi" w:cstheme="minorHAnsi"/>
                    </w:rPr>
                    <w:t>GR1</w:t>
                  </w:r>
                </w:p>
              </w:tc>
              <w:tc>
                <w:tcPr>
                  <w:tcW w:w="1970" w:type="dxa"/>
                  <w:shd w:val="clear" w:color="auto" w:fill="auto"/>
                </w:tcPr>
                <w:p w:rsidR="002E6137" w:rsidRPr="00F13B38" w:rsidRDefault="002E6137" w:rsidP="00521D77">
                  <w:pPr>
                    <w:jc w:val="center"/>
                    <w:rPr>
                      <w:rStyle w:val="CommentReference"/>
                      <w:sz w:val="22"/>
                      <w:szCs w:val="22"/>
                    </w:rPr>
                  </w:pPr>
                  <w:r w:rsidRPr="00F13B38">
                    <w:rPr>
                      <w:rStyle w:val="CommentReference"/>
                      <w:sz w:val="22"/>
                      <w:szCs w:val="22"/>
                    </w:rPr>
                    <w:t>38.5</w:t>
                  </w:r>
                </w:p>
              </w:tc>
              <w:tc>
                <w:tcPr>
                  <w:tcW w:w="1762" w:type="dxa"/>
                  <w:shd w:val="clear" w:color="auto" w:fill="auto"/>
                </w:tcPr>
                <w:p w:rsidR="002E6137" w:rsidRPr="00F13B38" w:rsidRDefault="002E6137" w:rsidP="00521D77">
                  <w:pPr>
                    <w:jc w:val="center"/>
                    <w:rPr>
                      <w:rFonts w:asciiTheme="minorHAnsi" w:hAnsiTheme="minorHAnsi" w:cstheme="minorHAnsi"/>
                    </w:rPr>
                  </w:pPr>
                  <w:r w:rsidRPr="00F13B38">
                    <w:rPr>
                      <w:rFonts w:asciiTheme="minorHAnsi" w:hAnsiTheme="minorHAnsi" w:cstheme="minorHAnsi"/>
                    </w:rPr>
                    <w:t>54</w:t>
                  </w:r>
                </w:p>
              </w:tc>
            </w:tr>
            <w:tr w:rsidR="00AA568F" w:rsidRPr="00F13B38" w:rsidTr="00931BF7">
              <w:tc>
                <w:tcPr>
                  <w:tcW w:w="3660" w:type="dxa"/>
                  <w:shd w:val="clear" w:color="auto" w:fill="C4BC96" w:themeFill="background2" w:themeFillShade="BF"/>
                </w:tcPr>
                <w:p w:rsidR="00302EC8" w:rsidRPr="00F13B38" w:rsidRDefault="002E6137" w:rsidP="002E6137">
                  <w:pPr>
                    <w:rPr>
                      <w:rFonts w:asciiTheme="minorHAnsi" w:hAnsiTheme="minorHAnsi" w:cstheme="minorHAnsi"/>
                    </w:rPr>
                  </w:pPr>
                  <w:r w:rsidRPr="00F13B38">
                    <w:rPr>
                      <w:rFonts w:asciiTheme="minorHAnsi" w:hAnsiTheme="minorHAnsi" w:cstheme="minorHAnsi"/>
                    </w:rPr>
                    <w:t>T</w:t>
                  </w:r>
                  <w:r w:rsidR="00302EC8" w:rsidRPr="00F13B38">
                    <w:rPr>
                      <w:rFonts w:asciiTheme="minorHAnsi" w:hAnsiTheme="minorHAnsi" w:cstheme="minorHAnsi"/>
                    </w:rPr>
                    <w:t>otal</w:t>
                  </w:r>
                </w:p>
              </w:tc>
              <w:tc>
                <w:tcPr>
                  <w:tcW w:w="1970" w:type="dxa"/>
                  <w:shd w:val="clear" w:color="auto" w:fill="C4BC96" w:themeFill="background2" w:themeFillShade="BF"/>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163.6</w:t>
                  </w:r>
                </w:p>
              </w:tc>
              <w:tc>
                <w:tcPr>
                  <w:tcW w:w="1762" w:type="dxa"/>
                  <w:shd w:val="clear" w:color="auto" w:fill="C4BC96" w:themeFill="background2" w:themeFillShade="BF"/>
                </w:tcPr>
                <w:p w:rsidR="00302EC8" w:rsidRPr="00F13B38" w:rsidRDefault="002E6137" w:rsidP="00521D77">
                  <w:pPr>
                    <w:jc w:val="center"/>
                    <w:rPr>
                      <w:rFonts w:asciiTheme="minorHAnsi" w:hAnsiTheme="minorHAnsi" w:cstheme="minorHAnsi"/>
                    </w:rPr>
                  </w:pPr>
                  <w:r w:rsidRPr="00F13B38">
                    <w:rPr>
                      <w:rFonts w:asciiTheme="minorHAnsi" w:hAnsiTheme="minorHAnsi" w:cstheme="minorHAnsi"/>
                    </w:rPr>
                    <w:t>222</w:t>
                  </w:r>
                </w:p>
              </w:tc>
            </w:tr>
          </w:tbl>
          <w:p w:rsidR="00E45E05" w:rsidRPr="00F13B38" w:rsidRDefault="003C4274" w:rsidP="001A168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(Source: Human Resources Jan</w:t>
            </w:r>
            <w:r w:rsidR="00CE11E9" w:rsidRPr="00F13B38">
              <w:rPr>
                <w:rFonts w:asciiTheme="minorHAnsi" w:hAnsiTheme="minorHAnsi" w:cstheme="minorHAnsi"/>
                <w:color w:val="auto"/>
              </w:rPr>
              <w:t>uary</w:t>
            </w:r>
            <w:r w:rsidRPr="00F13B38">
              <w:rPr>
                <w:rFonts w:asciiTheme="minorHAnsi" w:hAnsiTheme="minorHAnsi" w:cstheme="minorHAnsi"/>
                <w:color w:val="auto"/>
              </w:rPr>
              <w:t xml:space="preserve"> 2016)</w:t>
            </w:r>
            <w:r w:rsidR="00343F26" w:rsidRPr="00F13B38">
              <w:rPr>
                <w:rFonts w:asciiTheme="minorHAnsi" w:hAnsiTheme="minorHAnsi" w:cstheme="minorHAnsi"/>
                <w:color w:val="auto"/>
              </w:rPr>
              <w:t xml:space="preserve"> </w:t>
            </w:r>
          </w:p>
          <w:p w:rsidR="003C4274" w:rsidRPr="00F13B38" w:rsidRDefault="003C4274" w:rsidP="001A168B">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AA568F" w:rsidRPr="00F13B38" w:rsidTr="00CC3B49">
        <w:tc>
          <w:tcPr>
            <w:cnfStyle w:val="001000000000" w:firstRow="0" w:lastRow="0" w:firstColumn="1" w:lastColumn="0" w:oddVBand="0" w:evenVBand="0" w:oddHBand="0" w:evenHBand="0" w:firstRowFirstColumn="0" w:firstRowLastColumn="0" w:lastRowFirstColumn="0" w:lastRowLastColumn="0"/>
            <w:tcW w:w="1809" w:type="dxa"/>
            <w:shd w:val="clear" w:color="auto" w:fill="DBE5F1" w:themeFill="accent1" w:themeFillTint="33"/>
          </w:tcPr>
          <w:p w:rsidR="001A168B" w:rsidRPr="00F13B38" w:rsidRDefault="001A168B" w:rsidP="001A168B">
            <w:pPr>
              <w:spacing w:after="0" w:line="240" w:lineRule="auto"/>
              <w:rPr>
                <w:rFonts w:asciiTheme="minorHAnsi" w:hAnsiTheme="minorHAnsi" w:cstheme="minorHAnsi"/>
                <w:b w:val="0"/>
                <w:color w:val="auto"/>
              </w:rPr>
            </w:pPr>
            <w:r w:rsidRPr="00F13B38">
              <w:rPr>
                <w:rFonts w:asciiTheme="minorHAnsi" w:hAnsiTheme="minorHAnsi" w:cstheme="minorHAnsi"/>
                <w:color w:val="auto"/>
              </w:rPr>
              <w:t>Current Position</w:t>
            </w:r>
          </w:p>
          <w:p w:rsidR="001A168B" w:rsidRPr="00F13B38" w:rsidRDefault="001A168B" w:rsidP="000920C7">
            <w:pPr>
              <w:rPr>
                <w:rFonts w:asciiTheme="minorHAnsi" w:hAnsiTheme="minorHAnsi" w:cstheme="minorHAnsi"/>
                <w:b w:val="0"/>
                <w:color w:val="auto"/>
              </w:rPr>
            </w:pPr>
          </w:p>
        </w:tc>
        <w:tc>
          <w:tcPr>
            <w:tcW w:w="8725" w:type="dxa"/>
          </w:tcPr>
          <w:p w:rsidR="00302EC8" w:rsidRPr="00F13B38" w:rsidRDefault="00302EC8" w:rsidP="00302E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r w:rsidRPr="00F13B38">
              <w:rPr>
                <w:rFonts w:asciiTheme="minorHAnsi" w:hAnsiTheme="minorHAnsi" w:cstheme="minorHAnsi"/>
                <w:b/>
                <w:i/>
                <w:color w:val="auto"/>
              </w:rPr>
              <w:t>Current service operation</w:t>
            </w:r>
          </w:p>
          <w:p w:rsidR="00302EC8" w:rsidRPr="00AA568F" w:rsidRDefault="00CE11E9" w:rsidP="00302E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current service is provided internally by Birmingham City Council and its employees at a cost of £</w:t>
            </w:r>
            <w:r w:rsidR="00CC2E42">
              <w:rPr>
                <w:rFonts w:asciiTheme="minorHAnsi" w:hAnsiTheme="minorHAnsi" w:cstheme="minorHAnsi"/>
                <w:color w:val="auto"/>
              </w:rPr>
              <w:t>8.940m</w:t>
            </w:r>
            <w:r w:rsidRPr="00F13B38">
              <w:rPr>
                <w:rFonts w:asciiTheme="minorHAnsi" w:hAnsiTheme="minorHAnsi" w:cstheme="minorHAnsi"/>
                <w:color w:val="auto"/>
              </w:rPr>
              <w:t xml:space="preserve"> per annum. </w:t>
            </w:r>
          </w:p>
          <w:p w:rsidR="00761D05" w:rsidRPr="00F13B38" w:rsidRDefault="00761D05" w:rsidP="00302E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p>
          <w:p w:rsidR="00302EC8" w:rsidRPr="00F13B38" w:rsidRDefault="00302EC8" w:rsidP="00302EC8">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r w:rsidRPr="00F13B38">
              <w:rPr>
                <w:rFonts w:asciiTheme="minorHAnsi" w:hAnsiTheme="minorHAnsi" w:cstheme="minorHAnsi"/>
                <w:b/>
                <w:i/>
                <w:color w:val="auto"/>
              </w:rPr>
              <w:t>Performance</w:t>
            </w:r>
          </w:p>
          <w:p w:rsidR="00C05B5A" w:rsidRPr="00F13B38" w:rsidRDefault="00C05B5A" w:rsidP="00C05B5A">
            <w:pPr>
              <w:pStyle w:val="NoSpacing"/>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Performance of the service is judged on </w:t>
            </w:r>
            <w:r w:rsidR="00C16EAA" w:rsidRPr="00F13B38">
              <w:rPr>
                <w:color w:val="auto"/>
              </w:rPr>
              <w:t>two</w:t>
            </w:r>
            <w:r w:rsidR="00212F48" w:rsidRPr="00F13B38">
              <w:rPr>
                <w:color w:val="auto"/>
              </w:rPr>
              <w:t xml:space="preserve"> criteria – service quality </w:t>
            </w:r>
            <w:r w:rsidRPr="00F13B38">
              <w:rPr>
                <w:color w:val="auto"/>
              </w:rPr>
              <w:t>and service unit cost as follows:</w:t>
            </w:r>
          </w:p>
          <w:p w:rsidR="00C05B5A" w:rsidRPr="00F13B38" w:rsidRDefault="00C05B5A" w:rsidP="00C05B5A">
            <w:pPr>
              <w:pStyle w:val="NoSpacing"/>
              <w:cnfStyle w:val="000000000000" w:firstRow="0" w:lastRow="0" w:firstColumn="0" w:lastColumn="0" w:oddVBand="0" w:evenVBand="0" w:oddHBand="0" w:evenHBand="0" w:firstRowFirstColumn="0" w:firstRowLastColumn="0" w:lastRowFirstColumn="0" w:lastRowLastColumn="0"/>
              <w:rPr>
                <w:color w:val="auto"/>
              </w:rPr>
            </w:pPr>
          </w:p>
          <w:p w:rsidR="00761D05" w:rsidRPr="00F13B38" w:rsidRDefault="00C05B5A" w:rsidP="00BF6DCB">
            <w:pPr>
              <w:pStyle w:val="NoSpacing"/>
              <w:cnfStyle w:val="000000000000" w:firstRow="0" w:lastRow="0" w:firstColumn="0" w:lastColumn="0" w:oddVBand="0" w:evenVBand="0" w:oddHBand="0" w:evenHBand="0" w:firstRowFirstColumn="0" w:firstRowLastColumn="0" w:lastRowFirstColumn="0" w:lastRowLastColumn="0"/>
              <w:rPr>
                <w:b/>
                <w:i/>
                <w:color w:val="auto"/>
              </w:rPr>
            </w:pPr>
            <w:r w:rsidRPr="00F13B38">
              <w:rPr>
                <w:b/>
                <w:i/>
                <w:color w:val="auto"/>
              </w:rPr>
              <w:t>Service quality</w:t>
            </w:r>
          </w:p>
          <w:p w:rsidR="00C05B5A" w:rsidRPr="00F13B38" w:rsidRDefault="007005D8" w:rsidP="00BF6DCB">
            <w:pPr>
              <w:pStyle w:val="NoSpacing"/>
              <w:cnfStyle w:val="000000000000" w:firstRow="0" w:lastRow="0" w:firstColumn="0" w:lastColumn="0" w:oddVBand="0" w:evenVBand="0" w:oddHBand="0" w:evenHBand="0" w:firstRowFirstColumn="0" w:firstRowLastColumn="0" w:lastRowFirstColumn="0" w:lastRowLastColumn="0"/>
              <w:rPr>
                <w:color w:val="auto"/>
              </w:rPr>
            </w:pPr>
            <w:r w:rsidRPr="00F13B38">
              <w:rPr>
                <w:b/>
                <w:i/>
                <w:color w:val="auto"/>
              </w:rPr>
              <w:t xml:space="preserve"> </w:t>
            </w:r>
            <w:r w:rsidR="00CE11E9" w:rsidRPr="00F13B38">
              <w:rPr>
                <w:color w:val="auto"/>
              </w:rPr>
              <w:t xml:space="preserve">Service quality is assessed using the latest rating of the regulator - </w:t>
            </w:r>
            <w:r w:rsidRPr="00F13B38">
              <w:rPr>
                <w:color w:val="auto"/>
              </w:rPr>
              <w:t xml:space="preserve"> the Care Quality Commission (CQC)</w:t>
            </w:r>
            <w:r w:rsidR="00CE11E9" w:rsidRPr="00F13B38">
              <w:rPr>
                <w:color w:val="auto"/>
              </w:rPr>
              <w:t xml:space="preserve">, which has assessed the </w:t>
            </w:r>
            <w:r w:rsidR="00CC2E42">
              <w:rPr>
                <w:color w:val="auto"/>
              </w:rPr>
              <w:t xml:space="preserve">long term residential services provided by Birmingham City Council in the </w:t>
            </w:r>
            <w:r w:rsidR="00CE11E9" w:rsidRPr="00F13B38">
              <w:rPr>
                <w:color w:val="auto"/>
              </w:rPr>
              <w:t>four Care Centres as follows:</w:t>
            </w:r>
          </w:p>
          <w:p w:rsidR="00CE11E9" w:rsidRPr="00F13B38" w:rsidRDefault="00CE11E9" w:rsidP="00CE11E9">
            <w:pPr>
              <w:pStyle w:val="NoSpacing"/>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Norman Power – ‘Good’ (Inspected April 2016)</w:t>
            </w:r>
          </w:p>
          <w:p w:rsidR="00CE11E9" w:rsidRPr="00F13B38" w:rsidRDefault="00CE11E9" w:rsidP="00CE11E9">
            <w:pPr>
              <w:pStyle w:val="NoSpacing"/>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Perry Tree – Compliant (Inspected Feb 2016 under previous regulatory framework)</w:t>
            </w:r>
          </w:p>
          <w:p w:rsidR="007005D8" w:rsidRPr="00F13B38" w:rsidRDefault="007005D8" w:rsidP="00BF6DCB">
            <w:pPr>
              <w:pStyle w:val="NoSpacing"/>
              <w:numPr>
                <w:ilvl w:val="0"/>
                <w:numId w:val="41"/>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lastRenderedPageBreak/>
              <w:t xml:space="preserve">Anne Marie </w:t>
            </w:r>
            <w:proofErr w:type="spellStart"/>
            <w:r w:rsidRPr="00F13B38">
              <w:rPr>
                <w:color w:val="auto"/>
              </w:rPr>
              <w:t>Howes</w:t>
            </w:r>
            <w:proofErr w:type="spellEnd"/>
            <w:r w:rsidRPr="00F13B38">
              <w:rPr>
                <w:color w:val="auto"/>
              </w:rPr>
              <w:t xml:space="preserve"> – ‘Good’ (Inspected May 2015)</w:t>
            </w:r>
          </w:p>
          <w:p w:rsidR="00CE11E9" w:rsidRPr="00F13B38" w:rsidRDefault="00CE11E9" w:rsidP="00BF6DCB">
            <w:pPr>
              <w:pStyle w:val="NoSpacing"/>
              <w:numPr>
                <w:ilvl w:val="0"/>
                <w:numId w:val="41"/>
              </w:numPr>
              <w:cnfStyle w:val="000000000000" w:firstRow="0" w:lastRow="0" w:firstColumn="0" w:lastColumn="0" w:oddVBand="0" w:evenVBand="0" w:oddHBand="0" w:evenHBand="0" w:firstRowFirstColumn="0" w:firstRowLastColumn="0" w:lastRowFirstColumn="0" w:lastRowLastColumn="0"/>
              <w:rPr>
                <w:color w:val="auto"/>
              </w:rPr>
            </w:pPr>
            <w:proofErr w:type="spellStart"/>
            <w:r w:rsidRPr="00F13B38">
              <w:rPr>
                <w:color w:val="auto"/>
              </w:rPr>
              <w:t>Kenrick</w:t>
            </w:r>
            <w:proofErr w:type="spellEnd"/>
            <w:r w:rsidRPr="00F13B38">
              <w:rPr>
                <w:color w:val="auto"/>
              </w:rPr>
              <w:t xml:space="preserve"> Centre – ‘Requires Improvement’ (Inspected Nov 2015)</w:t>
            </w:r>
          </w:p>
          <w:p w:rsidR="008004DB" w:rsidRPr="00F13B38" w:rsidRDefault="008004DB" w:rsidP="007005D8">
            <w:pPr>
              <w:pStyle w:val="NoSpacing"/>
              <w:cnfStyle w:val="000000000000" w:firstRow="0" w:lastRow="0" w:firstColumn="0" w:lastColumn="0" w:oddVBand="0" w:evenVBand="0" w:oddHBand="0" w:evenHBand="0" w:firstRowFirstColumn="0" w:firstRowLastColumn="0" w:lastRowFirstColumn="0" w:lastRowLastColumn="0"/>
              <w:rPr>
                <w:color w:val="auto"/>
              </w:rPr>
            </w:pPr>
          </w:p>
          <w:p w:rsidR="008004DB" w:rsidRPr="00F13B38" w:rsidRDefault="008004DB" w:rsidP="007005D8">
            <w:pPr>
              <w:pStyle w:val="NoSpacing"/>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The </w:t>
            </w:r>
            <w:r w:rsidR="00552CC6">
              <w:rPr>
                <w:color w:val="auto"/>
              </w:rPr>
              <w:t xml:space="preserve">quality of care provided from the </w:t>
            </w:r>
            <w:r w:rsidRPr="00F13B38">
              <w:rPr>
                <w:color w:val="auto"/>
              </w:rPr>
              <w:t>Care compares well with an external residential care market which also provides care with a range of quality.</w:t>
            </w:r>
            <w:r w:rsidR="00704A6F" w:rsidRPr="00F13B38">
              <w:rPr>
                <w:color w:val="auto"/>
              </w:rPr>
              <w:t xml:space="preserve"> Birmingham has developed a framework to assess the quality of care home provision. At the end of the 3</w:t>
            </w:r>
            <w:r w:rsidR="00704A6F" w:rsidRPr="00F13B38">
              <w:rPr>
                <w:color w:val="auto"/>
                <w:vertAlign w:val="superscript"/>
              </w:rPr>
              <w:t>rd</w:t>
            </w:r>
            <w:r w:rsidR="00704A6F" w:rsidRPr="00F13B38">
              <w:rPr>
                <w:color w:val="auto"/>
              </w:rPr>
              <w:t xml:space="preserve"> Quarter of 2015/16 (January 2016) 46.3% of older adult homes </w:t>
            </w:r>
            <w:r w:rsidR="00CE11E9" w:rsidRPr="00F13B38">
              <w:rPr>
                <w:color w:val="auto"/>
              </w:rPr>
              <w:t xml:space="preserve">which contract with Birmingham City Council, </w:t>
            </w:r>
            <w:r w:rsidR="00704A6F" w:rsidRPr="00F13B38">
              <w:rPr>
                <w:color w:val="auto"/>
              </w:rPr>
              <w:t>were</w:t>
            </w:r>
            <w:r w:rsidR="00CE11E9" w:rsidRPr="00F13B38">
              <w:rPr>
                <w:color w:val="auto"/>
              </w:rPr>
              <w:t xml:space="preserve"> rated as</w:t>
            </w:r>
            <w:r w:rsidR="00704A6F" w:rsidRPr="00F13B38">
              <w:rPr>
                <w:color w:val="auto"/>
              </w:rPr>
              <w:t xml:space="preserve"> ‘good’, 45.6% ‘required improvement and 8.1% were ‘inadequate’.</w:t>
            </w:r>
          </w:p>
          <w:p w:rsidR="00704A6F" w:rsidRPr="00F13B38" w:rsidRDefault="00704A6F" w:rsidP="007005D8">
            <w:pPr>
              <w:pStyle w:val="NoSpacing"/>
              <w:cnfStyle w:val="000000000000" w:firstRow="0" w:lastRow="0" w:firstColumn="0" w:lastColumn="0" w:oddVBand="0" w:evenVBand="0" w:oddHBand="0" w:evenHBand="0" w:firstRowFirstColumn="0" w:firstRowLastColumn="0" w:lastRowFirstColumn="0" w:lastRowLastColumn="0"/>
              <w:rPr>
                <w:color w:val="auto"/>
                <w:sz w:val="20"/>
                <w:szCs w:val="20"/>
              </w:rPr>
            </w:pPr>
            <w:r w:rsidRPr="00F13B38">
              <w:rPr>
                <w:color w:val="auto"/>
                <w:sz w:val="20"/>
                <w:szCs w:val="20"/>
              </w:rPr>
              <w:t>(Source: Provider Quality Performance Report – January 2016)</w:t>
            </w:r>
          </w:p>
          <w:p w:rsidR="00212F48" w:rsidRPr="00F13B38" w:rsidRDefault="00212F48" w:rsidP="007005D8">
            <w:pPr>
              <w:pStyle w:val="NoSpacing"/>
              <w:cnfStyle w:val="000000000000" w:firstRow="0" w:lastRow="0" w:firstColumn="0" w:lastColumn="0" w:oddVBand="0" w:evenVBand="0" w:oddHBand="0" w:evenHBand="0" w:firstRowFirstColumn="0" w:firstRowLastColumn="0" w:lastRowFirstColumn="0" w:lastRowLastColumn="0"/>
              <w:rPr>
                <w:color w:val="auto"/>
              </w:rPr>
            </w:pPr>
          </w:p>
          <w:p w:rsidR="00C05B5A" w:rsidRPr="00F13B38" w:rsidRDefault="00C05B5A" w:rsidP="00BF6DCB">
            <w:pPr>
              <w:pStyle w:val="NoSpacing"/>
              <w:cnfStyle w:val="000000000000" w:firstRow="0" w:lastRow="0" w:firstColumn="0" w:lastColumn="0" w:oddVBand="0" w:evenVBand="0" w:oddHBand="0" w:evenHBand="0" w:firstRowFirstColumn="0" w:firstRowLastColumn="0" w:lastRowFirstColumn="0" w:lastRowLastColumn="0"/>
              <w:rPr>
                <w:color w:val="auto"/>
              </w:rPr>
            </w:pPr>
            <w:r w:rsidRPr="00F13B38">
              <w:rPr>
                <w:b/>
                <w:i/>
                <w:color w:val="auto"/>
              </w:rPr>
              <w:t>Unit cost</w:t>
            </w:r>
            <w:r w:rsidRPr="00F13B38">
              <w:rPr>
                <w:color w:val="auto"/>
              </w:rPr>
              <w:t xml:space="preserve"> </w:t>
            </w:r>
          </w:p>
          <w:p w:rsidR="00302EC8" w:rsidRPr="00F13B38" w:rsidRDefault="00212F48" w:rsidP="001A16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average unit cost of a residential care bed in one of the</w:t>
            </w:r>
            <w:r w:rsidR="00CE11E9" w:rsidRPr="00F13B38">
              <w:rPr>
                <w:rFonts w:asciiTheme="minorHAnsi" w:hAnsiTheme="minorHAnsi" w:cstheme="minorHAnsi"/>
                <w:color w:val="auto"/>
              </w:rPr>
              <w:t xml:space="preserve"> four</w:t>
            </w:r>
            <w:r w:rsidRPr="00F13B38">
              <w:rPr>
                <w:rFonts w:asciiTheme="minorHAnsi" w:hAnsiTheme="minorHAnsi" w:cstheme="minorHAnsi"/>
                <w:color w:val="auto"/>
              </w:rPr>
              <w:t xml:space="preserve"> Care Centres was £</w:t>
            </w:r>
            <w:r w:rsidR="00281270" w:rsidRPr="00F13B38">
              <w:rPr>
                <w:rFonts w:asciiTheme="minorHAnsi" w:hAnsiTheme="minorHAnsi" w:cstheme="minorHAnsi"/>
                <w:color w:val="auto"/>
              </w:rPr>
              <w:t xml:space="preserve">1,035 </w:t>
            </w:r>
            <w:r w:rsidRPr="00F13B38">
              <w:rPr>
                <w:rFonts w:asciiTheme="minorHAnsi" w:hAnsiTheme="minorHAnsi" w:cstheme="minorHAnsi"/>
                <w:color w:val="auto"/>
              </w:rPr>
              <w:t>per week in 2015</w:t>
            </w:r>
            <w:r w:rsidR="00281270" w:rsidRPr="00F13B38">
              <w:rPr>
                <w:rFonts w:asciiTheme="minorHAnsi" w:hAnsiTheme="minorHAnsi" w:cstheme="minorHAnsi"/>
                <w:color w:val="auto"/>
              </w:rPr>
              <w:t>/16</w:t>
            </w:r>
            <w:r w:rsidRPr="00F13B38">
              <w:rPr>
                <w:rFonts w:asciiTheme="minorHAnsi" w:hAnsiTheme="minorHAnsi" w:cstheme="minorHAnsi"/>
                <w:color w:val="auto"/>
              </w:rPr>
              <w:t xml:space="preserve">. </w:t>
            </w:r>
            <w:r w:rsidR="000F3D48" w:rsidRPr="00F13B38">
              <w:rPr>
                <w:rFonts w:asciiTheme="minorHAnsi" w:hAnsiTheme="minorHAnsi" w:cstheme="minorHAnsi"/>
                <w:color w:val="auto"/>
              </w:rPr>
              <w:t xml:space="preserve">The Council’s provision in the Care Centres represents </w:t>
            </w:r>
            <w:r w:rsidR="0032229C" w:rsidRPr="00F13B38">
              <w:rPr>
                <w:rFonts w:asciiTheme="minorHAnsi" w:hAnsiTheme="minorHAnsi" w:cstheme="minorHAnsi"/>
                <w:color w:val="auto"/>
              </w:rPr>
              <w:t xml:space="preserve">less than </w:t>
            </w:r>
            <w:r w:rsidR="000F3D48" w:rsidRPr="00F13B38">
              <w:rPr>
                <w:rFonts w:asciiTheme="minorHAnsi" w:hAnsiTheme="minorHAnsi" w:cstheme="minorHAnsi"/>
                <w:color w:val="auto"/>
              </w:rPr>
              <w:t>3% o</w:t>
            </w:r>
            <w:r w:rsidR="0004763A" w:rsidRPr="00F13B38">
              <w:rPr>
                <w:rFonts w:asciiTheme="minorHAnsi" w:hAnsiTheme="minorHAnsi" w:cstheme="minorHAnsi"/>
                <w:color w:val="auto"/>
              </w:rPr>
              <w:t xml:space="preserve">f the market in Birmingham and </w:t>
            </w:r>
            <w:r w:rsidR="000F3D48" w:rsidRPr="00F13B38">
              <w:rPr>
                <w:rFonts w:asciiTheme="minorHAnsi" w:hAnsiTheme="minorHAnsi" w:cstheme="minorHAnsi"/>
                <w:color w:val="auto"/>
              </w:rPr>
              <w:t>t</w:t>
            </w:r>
            <w:r w:rsidRPr="00F13B38">
              <w:rPr>
                <w:rFonts w:asciiTheme="minorHAnsi" w:hAnsiTheme="minorHAnsi" w:cstheme="minorHAnsi"/>
                <w:color w:val="auto"/>
              </w:rPr>
              <w:t xml:space="preserve">he majority of older adult residential care </w:t>
            </w:r>
            <w:r w:rsidR="002F632C" w:rsidRPr="00F13B38">
              <w:rPr>
                <w:rFonts w:asciiTheme="minorHAnsi" w:hAnsiTheme="minorHAnsi" w:cstheme="minorHAnsi"/>
                <w:color w:val="auto"/>
              </w:rPr>
              <w:t>is</w:t>
            </w:r>
            <w:r w:rsidR="002F632C">
              <w:rPr>
                <w:rFonts w:asciiTheme="minorHAnsi" w:hAnsiTheme="minorHAnsi" w:cstheme="minorHAnsi"/>
                <w:color w:val="auto"/>
              </w:rPr>
              <w:t xml:space="preserve"> commissioned </w:t>
            </w:r>
            <w:r w:rsidRPr="00F13B38">
              <w:rPr>
                <w:rFonts w:asciiTheme="minorHAnsi" w:hAnsiTheme="minorHAnsi" w:cstheme="minorHAnsi"/>
                <w:color w:val="auto"/>
              </w:rPr>
              <w:t xml:space="preserve">from </w:t>
            </w:r>
            <w:r w:rsidR="00CC2E42">
              <w:rPr>
                <w:rFonts w:asciiTheme="minorHAnsi" w:hAnsiTheme="minorHAnsi" w:cstheme="minorHAnsi"/>
                <w:color w:val="auto"/>
              </w:rPr>
              <w:t xml:space="preserve">independent </w:t>
            </w:r>
            <w:r w:rsidRPr="00F13B38">
              <w:rPr>
                <w:rFonts w:asciiTheme="minorHAnsi" w:hAnsiTheme="minorHAnsi" w:cstheme="minorHAnsi"/>
                <w:color w:val="auto"/>
              </w:rPr>
              <w:t xml:space="preserve">providers. </w:t>
            </w:r>
            <w:r w:rsidR="00684010" w:rsidRPr="00F13B38">
              <w:rPr>
                <w:rFonts w:asciiTheme="minorHAnsi" w:hAnsiTheme="minorHAnsi" w:cstheme="minorHAnsi"/>
                <w:color w:val="auto"/>
              </w:rPr>
              <w:t>In 2014/15 t</w:t>
            </w:r>
            <w:r w:rsidRPr="00F13B38">
              <w:rPr>
                <w:rFonts w:asciiTheme="minorHAnsi" w:hAnsiTheme="minorHAnsi" w:cstheme="minorHAnsi"/>
                <w:color w:val="auto"/>
              </w:rPr>
              <w:t xml:space="preserve">he average </w:t>
            </w:r>
            <w:r w:rsidR="00684010" w:rsidRPr="00F13B38">
              <w:rPr>
                <w:rFonts w:asciiTheme="minorHAnsi" w:hAnsiTheme="minorHAnsi" w:cstheme="minorHAnsi"/>
                <w:color w:val="auto"/>
              </w:rPr>
              <w:t xml:space="preserve">weekly cost </w:t>
            </w:r>
            <w:r w:rsidRPr="00F13B38">
              <w:rPr>
                <w:rFonts w:asciiTheme="minorHAnsi" w:hAnsiTheme="minorHAnsi" w:cstheme="minorHAnsi"/>
                <w:color w:val="auto"/>
              </w:rPr>
              <w:t>of a bed from the external market</w:t>
            </w:r>
            <w:r w:rsidR="00A30C39" w:rsidRPr="00F13B38">
              <w:rPr>
                <w:rFonts w:asciiTheme="minorHAnsi" w:hAnsiTheme="minorHAnsi" w:cstheme="minorHAnsi"/>
                <w:color w:val="auto"/>
              </w:rPr>
              <w:t xml:space="preserve"> in Birmingham</w:t>
            </w:r>
            <w:r w:rsidR="0004763A" w:rsidRPr="00F13B38">
              <w:rPr>
                <w:rFonts w:asciiTheme="minorHAnsi" w:hAnsiTheme="minorHAnsi" w:cstheme="minorHAnsi"/>
                <w:color w:val="auto"/>
              </w:rPr>
              <w:t xml:space="preserve"> was (2015/16 figures are not yet available)</w:t>
            </w:r>
            <w:r w:rsidRPr="00F13B38">
              <w:rPr>
                <w:rFonts w:asciiTheme="minorHAnsi" w:hAnsiTheme="minorHAnsi" w:cstheme="minorHAnsi"/>
                <w:color w:val="auto"/>
              </w:rPr>
              <w:t>:</w:t>
            </w:r>
          </w:p>
          <w:p w:rsidR="0004763A" w:rsidRPr="00F13B38" w:rsidRDefault="0004763A" w:rsidP="001A16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212F48" w:rsidRPr="00F13B38" w:rsidRDefault="00212F48" w:rsidP="0004763A">
            <w:pPr>
              <w:pStyle w:val="List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 xml:space="preserve">Residential care - </w:t>
            </w:r>
            <w:r w:rsidR="0004763A" w:rsidRPr="00F13B38">
              <w:rPr>
                <w:rFonts w:asciiTheme="minorHAnsi" w:hAnsiTheme="minorHAnsi" w:cstheme="minorHAnsi"/>
                <w:color w:val="auto"/>
                <w:sz w:val="22"/>
                <w:szCs w:val="22"/>
              </w:rPr>
              <w:t>£511.21</w:t>
            </w:r>
          </w:p>
          <w:p w:rsidR="0004763A" w:rsidRPr="00F13B38" w:rsidRDefault="0004763A" w:rsidP="0004763A">
            <w:pPr>
              <w:pStyle w:val="List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Residential care with dementia – £520.93</w:t>
            </w:r>
          </w:p>
          <w:p w:rsidR="00212F48" w:rsidRPr="00F13B38" w:rsidRDefault="00212F48" w:rsidP="0004763A">
            <w:pPr>
              <w:pStyle w:val="List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Nursing care</w:t>
            </w:r>
            <w:r w:rsidR="008004DB" w:rsidRPr="00F13B38">
              <w:rPr>
                <w:rFonts w:asciiTheme="minorHAnsi" w:hAnsiTheme="minorHAnsi" w:cstheme="minorHAnsi"/>
                <w:color w:val="auto"/>
                <w:sz w:val="22"/>
                <w:szCs w:val="22"/>
              </w:rPr>
              <w:t xml:space="preserve"> – </w:t>
            </w:r>
            <w:r w:rsidR="0004763A" w:rsidRPr="00F13B38">
              <w:rPr>
                <w:rFonts w:asciiTheme="minorHAnsi" w:hAnsiTheme="minorHAnsi" w:cstheme="minorHAnsi"/>
                <w:color w:val="auto"/>
                <w:sz w:val="22"/>
                <w:szCs w:val="22"/>
              </w:rPr>
              <w:t>£524.70</w:t>
            </w:r>
          </w:p>
          <w:p w:rsidR="00466765" w:rsidRPr="00F13B38" w:rsidRDefault="0004763A" w:rsidP="0004763A">
            <w:pPr>
              <w:pStyle w:val="ListParagraph"/>
              <w:numPr>
                <w:ilvl w:val="0"/>
                <w:numId w:val="39"/>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N</w:t>
            </w:r>
            <w:r w:rsidR="00466765" w:rsidRPr="00F13B38">
              <w:rPr>
                <w:rFonts w:asciiTheme="minorHAnsi" w:hAnsiTheme="minorHAnsi" w:cstheme="minorHAnsi"/>
                <w:color w:val="auto"/>
                <w:sz w:val="22"/>
                <w:szCs w:val="22"/>
              </w:rPr>
              <w:t xml:space="preserve">ursing care </w:t>
            </w:r>
            <w:r w:rsidRPr="00F13B38">
              <w:rPr>
                <w:rFonts w:asciiTheme="minorHAnsi" w:hAnsiTheme="minorHAnsi" w:cstheme="minorHAnsi"/>
                <w:color w:val="auto"/>
                <w:sz w:val="22"/>
                <w:szCs w:val="22"/>
              </w:rPr>
              <w:t xml:space="preserve">with dementia </w:t>
            </w:r>
            <w:r w:rsidR="00466765" w:rsidRPr="00F13B38">
              <w:rPr>
                <w:rFonts w:asciiTheme="minorHAnsi" w:hAnsiTheme="minorHAnsi" w:cstheme="minorHAnsi"/>
                <w:color w:val="auto"/>
                <w:sz w:val="22"/>
                <w:szCs w:val="22"/>
              </w:rPr>
              <w:t xml:space="preserve">- </w:t>
            </w:r>
            <w:r w:rsidRPr="00F13B38">
              <w:rPr>
                <w:rFonts w:asciiTheme="minorHAnsi" w:hAnsiTheme="minorHAnsi" w:cstheme="minorHAnsi"/>
                <w:color w:val="auto"/>
                <w:sz w:val="22"/>
                <w:szCs w:val="22"/>
              </w:rPr>
              <w:t>£540.75</w:t>
            </w:r>
          </w:p>
          <w:p w:rsidR="00212F48" w:rsidRPr="00F13B38" w:rsidRDefault="00212F48" w:rsidP="001A16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077633" w:rsidRPr="00F13B38" w:rsidRDefault="00077633" w:rsidP="001A168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color w:val="auto"/>
              </w:rPr>
              <w:t>Need for change / Drivers</w:t>
            </w:r>
          </w:p>
          <w:p w:rsidR="001A168B" w:rsidRPr="00F13B38" w:rsidRDefault="00F20638" w:rsidP="00362A5B">
            <w:pPr>
              <w:spacing w:after="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following drivers for change have been identified:</w:t>
            </w:r>
          </w:p>
          <w:p w:rsidR="00F20638" w:rsidRPr="00F13B38" w:rsidRDefault="00F20638" w:rsidP="0007763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p>
          <w:p w:rsidR="00077633" w:rsidRPr="00F13B38" w:rsidRDefault="00077633" w:rsidP="0007763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r w:rsidRPr="00F13B38">
              <w:rPr>
                <w:rFonts w:asciiTheme="minorHAnsi" w:hAnsiTheme="minorHAnsi" w:cstheme="minorHAnsi"/>
                <w:b/>
                <w:i/>
                <w:color w:val="auto"/>
              </w:rPr>
              <w:t>Policy</w:t>
            </w:r>
          </w:p>
          <w:p w:rsidR="008879EA" w:rsidRPr="00AA568F" w:rsidRDefault="008879EA" w:rsidP="008879EA">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The emerging Adults Transformation programme – Maximising the Independence of Adults  sets out a series of plans, proposals and activity to deliver benefits and savings to reduce the predicted gap between increasing demand for service and reducing budgets .</w:t>
            </w:r>
          </w:p>
          <w:p w:rsidR="008879EA" w:rsidRPr="00AA568F" w:rsidRDefault="008879EA" w:rsidP="008879EA">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Between November 2015 and January 2016, the Council consulted upon its Budget proposal for 2016+ in order to deliver in excess of £250m of savings (equating to 25% of its total budget). </w:t>
            </w:r>
          </w:p>
          <w:p w:rsidR="008879EA" w:rsidRPr="00AA568F" w:rsidRDefault="008879EA" w:rsidP="008879EA">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Birmingham City Council is committed to developing services for people that help them to live as independently as possible, exercising choice and control over the planning and delivery of the support they need.</w:t>
            </w:r>
          </w:p>
          <w:p w:rsidR="008879EA" w:rsidRPr="00AA568F" w:rsidRDefault="008879EA" w:rsidP="008879EA">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The Council intends to move away from a system of </w:t>
            </w:r>
            <w:r w:rsidR="00552CC6">
              <w:rPr>
                <w:rFonts w:asciiTheme="minorHAnsi" w:hAnsiTheme="minorHAnsi" w:cstheme="minorHAnsi"/>
                <w:color w:val="auto"/>
              </w:rPr>
              <w:t>mainstream funding of services</w:t>
            </w:r>
            <w:r w:rsidRPr="00F13B38">
              <w:rPr>
                <w:rFonts w:asciiTheme="minorHAnsi" w:hAnsiTheme="minorHAnsi" w:cstheme="minorHAnsi"/>
                <w:color w:val="auto"/>
              </w:rPr>
              <w:t>.</w:t>
            </w:r>
          </w:p>
          <w:p w:rsidR="00820E43" w:rsidRPr="00F13B38" w:rsidRDefault="00820E43"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The Council and the NHS </w:t>
            </w:r>
            <w:r w:rsidR="008879EA" w:rsidRPr="00F13B38">
              <w:rPr>
                <w:color w:val="auto"/>
              </w:rPr>
              <w:t>are</w:t>
            </w:r>
            <w:r w:rsidRPr="00F13B38">
              <w:rPr>
                <w:color w:val="auto"/>
              </w:rPr>
              <w:t xml:space="preserve"> commit</w:t>
            </w:r>
            <w:r w:rsidR="008879EA" w:rsidRPr="00F13B38">
              <w:rPr>
                <w:color w:val="auto"/>
              </w:rPr>
              <w:t>ted</w:t>
            </w:r>
            <w:r w:rsidRPr="00F13B38">
              <w:rPr>
                <w:color w:val="auto"/>
              </w:rPr>
              <w:t xml:space="preserve"> to work</w:t>
            </w:r>
            <w:r w:rsidR="002F632C">
              <w:rPr>
                <w:color w:val="auto"/>
              </w:rPr>
              <w:t>ing</w:t>
            </w:r>
            <w:r w:rsidRPr="00F13B38">
              <w:rPr>
                <w:color w:val="auto"/>
              </w:rPr>
              <w:t xml:space="preserve"> closer together and through the </w:t>
            </w:r>
            <w:r w:rsidR="008879EA" w:rsidRPr="00F13B38">
              <w:rPr>
                <w:color w:val="auto"/>
              </w:rPr>
              <w:t>Sustainability and Transformation Plan (STP) process</w:t>
            </w:r>
            <w:r w:rsidRPr="00F13B38">
              <w:rPr>
                <w:color w:val="auto"/>
              </w:rPr>
              <w:t xml:space="preserve"> </w:t>
            </w:r>
            <w:r w:rsidR="00CC2E42">
              <w:rPr>
                <w:color w:val="auto"/>
              </w:rPr>
              <w:t xml:space="preserve">described in the covering </w:t>
            </w:r>
            <w:r w:rsidR="00974E13">
              <w:rPr>
                <w:color w:val="auto"/>
              </w:rPr>
              <w:t>Cabinet</w:t>
            </w:r>
            <w:r w:rsidR="00CC2E42">
              <w:rPr>
                <w:color w:val="auto"/>
              </w:rPr>
              <w:t xml:space="preserve"> Report, </w:t>
            </w:r>
            <w:r w:rsidRPr="00F13B38">
              <w:rPr>
                <w:color w:val="auto"/>
              </w:rPr>
              <w:t>are seeking opportunities to develop improved integration in terms of the services both organisation’s commission.</w:t>
            </w:r>
          </w:p>
          <w:p w:rsidR="00E53C50" w:rsidRPr="00AA568F" w:rsidRDefault="00E53C50" w:rsidP="00E53C50">
            <w:pPr>
              <w:pStyle w:val="NoSpacing"/>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077633" w:rsidRPr="00F13B38" w:rsidRDefault="00077633" w:rsidP="00077633">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r w:rsidRPr="00F13B38">
              <w:rPr>
                <w:rFonts w:asciiTheme="minorHAnsi" w:hAnsiTheme="minorHAnsi" w:cstheme="minorHAnsi"/>
                <w:b/>
                <w:i/>
                <w:color w:val="auto"/>
              </w:rPr>
              <w:t>Financial</w:t>
            </w:r>
          </w:p>
          <w:p w:rsidR="00ED2668" w:rsidRPr="00AA568F" w:rsidRDefault="008879EA"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The Council is required to make significant savings as detailed in the Council Business Plan and Budget 2016+. The internal Specialist Care Services – Care Centres service has been identified as a contributor to these wider savings plans. </w:t>
            </w:r>
          </w:p>
          <w:p w:rsidR="00FF34FC" w:rsidRPr="00F13B38" w:rsidRDefault="00ED2668"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cs="Arial"/>
                <w:bCs/>
                <w:color w:val="auto"/>
              </w:rPr>
              <w:t xml:space="preserve">The Council </w:t>
            </w:r>
            <w:r w:rsidR="008879EA" w:rsidRPr="00F13B38">
              <w:rPr>
                <w:rFonts w:cs="Arial"/>
                <w:bCs/>
                <w:color w:val="auto"/>
              </w:rPr>
              <w:t xml:space="preserve">recognises </w:t>
            </w:r>
            <w:r w:rsidRPr="00F13B38">
              <w:rPr>
                <w:rFonts w:cs="Arial"/>
                <w:bCs/>
                <w:color w:val="auto"/>
              </w:rPr>
              <w:t>that it cannot provide residential care for older adults in the Care Centres in a way which represents value for money when compared to providers of similar services within the care market.</w:t>
            </w:r>
          </w:p>
          <w:p w:rsidR="00CB09B5" w:rsidRPr="00F13B38" w:rsidRDefault="00ED2668"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cs="Arial"/>
                <w:bCs/>
                <w:color w:val="auto"/>
              </w:rPr>
              <w:t xml:space="preserve">The Council provides residential care </w:t>
            </w:r>
            <w:r w:rsidR="00BE3413" w:rsidRPr="00F13B38">
              <w:rPr>
                <w:rFonts w:cs="Arial"/>
                <w:bCs/>
                <w:color w:val="auto"/>
              </w:rPr>
              <w:t xml:space="preserve">in the Care Centres </w:t>
            </w:r>
            <w:r w:rsidRPr="00F13B38">
              <w:rPr>
                <w:rFonts w:cs="Arial"/>
                <w:bCs/>
                <w:color w:val="auto"/>
              </w:rPr>
              <w:t>at a cost of £</w:t>
            </w:r>
            <w:r w:rsidR="00281270" w:rsidRPr="00F13B38">
              <w:rPr>
                <w:rFonts w:cs="Arial"/>
                <w:bCs/>
                <w:color w:val="auto"/>
              </w:rPr>
              <w:t xml:space="preserve">1,035 </w:t>
            </w:r>
            <w:r w:rsidRPr="00F13B38">
              <w:rPr>
                <w:rFonts w:cs="Arial"/>
                <w:bCs/>
                <w:color w:val="auto"/>
              </w:rPr>
              <w:t xml:space="preserve">per week. It can readily buy residential care from the external market </w:t>
            </w:r>
            <w:r w:rsidR="00BE3413" w:rsidRPr="00F13B38">
              <w:rPr>
                <w:rFonts w:cs="Arial"/>
                <w:bCs/>
                <w:color w:val="auto"/>
              </w:rPr>
              <w:t xml:space="preserve">for in the region of £500 </w:t>
            </w:r>
            <w:r w:rsidRPr="00F13B38">
              <w:rPr>
                <w:rFonts w:cs="Arial"/>
                <w:bCs/>
                <w:color w:val="auto"/>
              </w:rPr>
              <w:t>per week depending on the complexity of the support required.</w:t>
            </w:r>
          </w:p>
          <w:p w:rsidR="0008554E" w:rsidRPr="00F13B38" w:rsidRDefault="00CB09B5"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With the exception of the </w:t>
            </w:r>
            <w:proofErr w:type="spellStart"/>
            <w:r w:rsidRPr="00F13B38">
              <w:rPr>
                <w:rFonts w:asciiTheme="minorHAnsi" w:hAnsiTheme="minorHAnsi" w:cstheme="minorHAnsi"/>
                <w:color w:val="auto"/>
              </w:rPr>
              <w:t>Kenrick</w:t>
            </w:r>
            <w:proofErr w:type="spellEnd"/>
            <w:r w:rsidRPr="00F13B38">
              <w:rPr>
                <w:rFonts w:asciiTheme="minorHAnsi" w:hAnsiTheme="minorHAnsi" w:cstheme="minorHAnsi"/>
                <w:color w:val="auto"/>
              </w:rPr>
              <w:t xml:space="preserve"> Centre, the Council leases 32 beds in each of the other </w:t>
            </w:r>
            <w:r w:rsidR="0008554E" w:rsidRPr="00F13B38">
              <w:rPr>
                <w:rFonts w:asciiTheme="minorHAnsi" w:hAnsiTheme="minorHAnsi" w:cstheme="minorHAnsi"/>
                <w:color w:val="auto"/>
              </w:rPr>
              <w:t>three</w:t>
            </w:r>
            <w:r w:rsidRPr="00F13B38">
              <w:rPr>
                <w:rFonts w:asciiTheme="minorHAnsi" w:hAnsiTheme="minorHAnsi" w:cstheme="minorHAnsi"/>
                <w:color w:val="auto"/>
              </w:rPr>
              <w:t xml:space="preserve"> Care Centres to Birmingham Community Healthcare NHS Trust</w:t>
            </w:r>
            <w:r w:rsidR="0008554E" w:rsidRPr="00F13B38">
              <w:rPr>
                <w:rFonts w:asciiTheme="minorHAnsi" w:hAnsiTheme="minorHAnsi" w:cstheme="minorHAnsi"/>
                <w:color w:val="auto"/>
              </w:rPr>
              <w:t xml:space="preserve"> (BCHC)</w:t>
            </w:r>
            <w:r w:rsidRPr="00F13B38">
              <w:rPr>
                <w:rFonts w:asciiTheme="minorHAnsi" w:hAnsiTheme="minorHAnsi" w:cstheme="minorHAnsi"/>
                <w:color w:val="auto"/>
              </w:rPr>
              <w:t xml:space="preserve"> who </w:t>
            </w:r>
            <w:r w:rsidRPr="00F13B38">
              <w:rPr>
                <w:rFonts w:asciiTheme="minorHAnsi" w:hAnsiTheme="minorHAnsi" w:cstheme="minorHAnsi"/>
                <w:color w:val="auto"/>
              </w:rPr>
              <w:lastRenderedPageBreak/>
              <w:t xml:space="preserve">utilise the space to provide Intermediate Care beds. Having </w:t>
            </w:r>
            <w:r w:rsidR="0008554E" w:rsidRPr="00F13B38">
              <w:rPr>
                <w:rFonts w:asciiTheme="minorHAnsi" w:hAnsiTheme="minorHAnsi" w:cstheme="minorHAnsi"/>
                <w:color w:val="auto"/>
              </w:rPr>
              <w:t>two</w:t>
            </w:r>
            <w:r w:rsidRPr="00F13B38">
              <w:rPr>
                <w:rFonts w:asciiTheme="minorHAnsi" w:hAnsiTheme="minorHAnsi" w:cstheme="minorHAnsi"/>
                <w:color w:val="auto"/>
              </w:rPr>
              <w:t xml:space="preserve"> separate providers</w:t>
            </w:r>
            <w:r w:rsidR="00306B93" w:rsidRPr="00F13B38">
              <w:rPr>
                <w:rFonts w:asciiTheme="minorHAnsi" w:hAnsiTheme="minorHAnsi" w:cstheme="minorHAnsi"/>
                <w:color w:val="auto"/>
              </w:rPr>
              <w:t xml:space="preserve"> within a single building</w:t>
            </w:r>
            <w:r w:rsidRPr="00F13B38">
              <w:rPr>
                <w:rFonts w:asciiTheme="minorHAnsi" w:hAnsiTheme="minorHAnsi" w:cstheme="minorHAnsi"/>
                <w:color w:val="auto"/>
              </w:rPr>
              <w:t xml:space="preserve"> is not the most efficient method of operation</w:t>
            </w:r>
            <w:r w:rsidR="003D53BA" w:rsidRPr="00F13B38">
              <w:rPr>
                <w:rFonts w:asciiTheme="minorHAnsi" w:hAnsiTheme="minorHAnsi" w:cstheme="minorHAnsi"/>
                <w:color w:val="auto"/>
              </w:rPr>
              <w:t xml:space="preserve"> because of the duplication of some </w:t>
            </w:r>
            <w:r w:rsidR="00552CC6">
              <w:rPr>
                <w:rFonts w:asciiTheme="minorHAnsi" w:hAnsiTheme="minorHAnsi" w:cstheme="minorHAnsi"/>
                <w:color w:val="auto"/>
              </w:rPr>
              <w:t xml:space="preserve">management and administrative </w:t>
            </w:r>
            <w:r w:rsidR="003D53BA" w:rsidRPr="00F13B38">
              <w:rPr>
                <w:rFonts w:asciiTheme="minorHAnsi" w:hAnsiTheme="minorHAnsi" w:cstheme="minorHAnsi"/>
                <w:color w:val="auto"/>
              </w:rPr>
              <w:t>costs</w:t>
            </w:r>
            <w:r w:rsidRPr="00F13B38">
              <w:rPr>
                <w:rFonts w:asciiTheme="minorHAnsi" w:hAnsiTheme="minorHAnsi" w:cstheme="minorHAnsi"/>
                <w:color w:val="auto"/>
              </w:rPr>
              <w:t xml:space="preserve">. A single provider </w:t>
            </w:r>
            <w:r w:rsidR="00CC2E42">
              <w:rPr>
                <w:rFonts w:asciiTheme="minorHAnsi" w:hAnsiTheme="minorHAnsi" w:cstheme="minorHAnsi"/>
                <w:color w:val="auto"/>
              </w:rPr>
              <w:t xml:space="preserve">in each Care Centre </w:t>
            </w:r>
            <w:r w:rsidRPr="00F13B38">
              <w:rPr>
                <w:rFonts w:asciiTheme="minorHAnsi" w:hAnsiTheme="minorHAnsi" w:cstheme="minorHAnsi"/>
                <w:color w:val="auto"/>
              </w:rPr>
              <w:t>would enable operational savings and efficiencies.</w:t>
            </w:r>
            <w:r w:rsidR="00085D6E" w:rsidRPr="00F13B38">
              <w:rPr>
                <w:rFonts w:asciiTheme="minorHAnsi" w:hAnsiTheme="minorHAnsi" w:cstheme="minorHAnsi"/>
                <w:color w:val="auto"/>
              </w:rPr>
              <w:t xml:space="preserve"> </w:t>
            </w:r>
          </w:p>
          <w:p w:rsidR="002D7771" w:rsidRDefault="00085D6E"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The lease arrangements </w:t>
            </w:r>
            <w:r w:rsidR="003D53BA" w:rsidRPr="00F13B38">
              <w:rPr>
                <w:rFonts w:asciiTheme="minorHAnsi" w:hAnsiTheme="minorHAnsi" w:cstheme="minorHAnsi"/>
                <w:color w:val="auto"/>
              </w:rPr>
              <w:t xml:space="preserve">with the NHS </w:t>
            </w:r>
            <w:r w:rsidRPr="00F13B38">
              <w:rPr>
                <w:rFonts w:asciiTheme="minorHAnsi" w:hAnsiTheme="minorHAnsi" w:cstheme="minorHAnsi"/>
                <w:color w:val="auto"/>
              </w:rPr>
              <w:t xml:space="preserve">at </w:t>
            </w:r>
            <w:r w:rsidR="0008554E" w:rsidRPr="00F13B38">
              <w:rPr>
                <w:rFonts w:asciiTheme="minorHAnsi" w:hAnsiTheme="minorHAnsi" w:cstheme="minorHAnsi"/>
                <w:color w:val="auto"/>
              </w:rPr>
              <w:t xml:space="preserve">the </w:t>
            </w:r>
            <w:r w:rsidRPr="00F13B38">
              <w:rPr>
                <w:rFonts w:asciiTheme="minorHAnsi" w:hAnsiTheme="minorHAnsi" w:cstheme="minorHAnsi"/>
                <w:color w:val="auto"/>
              </w:rPr>
              <w:t>Perry Tree</w:t>
            </w:r>
            <w:r w:rsidR="0008554E" w:rsidRPr="00F13B38">
              <w:rPr>
                <w:rFonts w:asciiTheme="minorHAnsi" w:hAnsiTheme="minorHAnsi" w:cstheme="minorHAnsi"/>
                <w:color w:val="auto"/>
              </w:rPr>
              <w:t xml:space="preserve"> Centre</w:t>
            </w:r>
            <w:r w:rsidRPr="00F13B38">
              <w:rPr>
                <w:rFonts w:asciiTheme="minorHAnsi" w:hAnsiTheme="minorHAnsi" w:cstheme="minorHAnsi"/>
                <w:color w:val="auto"/>
              </w:rPr>
              <w:t xml:space="preserve"> and Anne Marie </w:t>
            </w:r>
            <w:proofErr w:type="spellStart"/>
            <w:r w:rsidRPr="00F13B38">
              <w:rPr>
                <w:rFonts w:asciiTheme="minorHAnsi" w:hAnsiTheme="minorHAnsi" w:cstheme="minorHAnsi"/>
                <w:color w:val="auto"/>
              </w:rPr>
              <w:t>Howes</w:t>
            </w:r>
            <w:proofErr w:type="spellEnd"/>
            <w:r w:rsidR="0008554E" w:rsidRPr="00F13B38">
              <w:rPr>
                <w:rFonts w:asciiTheme="minorHAnsi" w:hAnsiTheme="minorHAnsi" w:cstheme="minorHAnsi"/>
                <w:color w:val="auto"/>
              </w:rPr>
              <w:t xml:space="preserve"> Centre</w:t>
            </w:r>
            <w:r w:rsidRPr="00F13B38">
              <w:rPr>
                <w:rFonts w:asciiTheme="minorHAnsi" w:hAnsiTheme="minorHAnsi" w:cstheme="minorHAnsi"/>
                <w:color w:val="auto"/>
              </w:rPr>
              <w:t xml:space="preserve"> have had break clauses enacted and operate on a rolling basis month to month</w:t>
            </w:r>
            <w:r w:rsidR="002D7771">
              <w:rPr>
                <w:rFonts w:asciiTheme="minorHAnsi" w:hAnsiTheme="minorHAnsi" w:cstheme="minorHAnsi"/>
                <w:color w:val="auto"/>
              </w:rPr>
              <w:t xml:space="preserve"> to enable any of the options being considered in this Outline Business Case to be implemented</w:t>
            </w:r>
            <w:r w:rsidRPr="00F13B38">
              <w:rPr>
                <w:rFonts w:asciiTheme="minorHAnsi" w:hAnsiTheme="minorHAnsi" w:cstheme="minorHAnsi"/>
                <w:color w:val="auto"/>
              </w:rPr>
              <w:t xml:space="preserve">. </w:t>
            </w:r>
          </w:p>
          <w:p w:rsidR="00CB09B5" w:rsidRPr="00F13B38" w:rsidRDefault="00085D6E" w:rsidP="00E53C50">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The lease at </w:t>
            </w:r>
            <w:r w:rsidR="0008554E" w:rsidRPr="00F13B38">
              <w:rPr>
                <w:rFonts w:asciiTheme="minorHAnsi" w:hAnsiTheme="minorHAnsi" w:cstheme="minorHAnsi"/>
                <w:color w:val="auto"/>
              </w:rPr>
              <w:t xml:space="preserve">the </w:t>
            </w:r>
            <w:r w:rsidRPr="00F13B38">
              <w:rPr>
                <w:rFonts w:asciiTheme="minorHAnsi" w:hAnsiTheme="minorHAnsi" w:cstheme="minorHAnsi"/>
                <w:color w:val="auto"/>
              </w:rPr>
              <w:t xml:space="preserve">Norman Power </w:t>
            </w:r>
            <w:r w:rsidR="0008554E" w:rsidRPr="00F13B38">
              <w:rPr>
                <w:rFonts w:asciiTheme="minorHAnsi" w:hAnsiTheme="minorHAnsi" w:cstheme="minorHAnsi"/>
                <w:color w:val="auto"/>
              </w:rPr>
              <w:t xml:space="preserve">Centre </w:t>
            </w:r>
            <w:r w:rsidRPr="00F13B38">
              <w:rPr>
                <w:rFonts w:asciiTheme="minorHAnsi" w:hAnsiTheme="minorHAnsi" w:cstheme="minorHAnsi"/>
                <w:color w:val="auto"/>
              </w:rPr>
              <w:t>has had the break clause enacted and is due to expire in November 2017. BCHC have however already ceased using Norman Power to provide Intermediate Care beds.</w:t>
            </w:r>
          </w:p>
          <w:p w:rsidR="00ED2668" w:rsidRPr="00F13B38" w:rsidRDefault="00ED2668" w:rsidP="00CB09B5">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9464FF" w:rsidRPr="00F13B38" w:rsidRDefault="009464FF" w:rsidP="009464FF">
            <w:pPr>
              <w:pStyle w:val="NoSpacing"/>
              <w:cnfStyle w:val="000000000000" w:firstRow="0" w:lastRow="0" w:firstColumn="0" w:lastColumn="0" w:oddVBand="0" w:evenVBand="0" w:oddHBand="0" w:evenHBand="0" w:firstRowFirstColumn="0" w:firstRowLastColumn="0" w:lastRowFirstColumn="0" w:lastRowLastColumn="0"/>
              <w:rPr>
                <w:color w:val="auto"/>
                <w:sz w:val="16"/>
                <w:szCs w:val="16"/>
              </w:rPr>
            </w:pPr>
          </w:p>
          <w:p w:rsidR="00304293" w:rsidRPr="00F13B38" w:rsidRDefault="00304293" w:rsidP="0030429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i/>
                <w:color w:val="auto"/>
              </w:rPr>
            </w:pPr>
            <w:r w:rsidRPr="00F13B38">
              <w:rPr>
                <w:rFonts w:asciiTheme="minorHAnsi" w:hAnsiTheme="minorHAnsi" w:cstheme="minorHAnsi"/>
                <w:b/>
                <w:i/>
                <w:color w:val="auto"/>
              </w:rPr>
              <w:t>Future Demand Projections</w:t>
            </w:r>
          </w:p>
          <w:p w:rsidR="000F3D48" w:rsidRPr="00F13B38" w:rsidRDefault="000F3D48" w:rsidP="00E53C5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 xml:space="preserve">Birmingham </w:t>
            </w:r>
            <w:r w:rsidR="00D20385" w:rsidRPr="00F13B38">
              <w:rPr>
                <w:rFonts w:asciiTheme="minorHAnsi" w:hAnsiTheme="minorHAnsi" w:cstheme="minorHAnsi"/>
                <w:color w:val="auto"/>
                <w:sz w:val="22"/>
                <w:szCs w:val="22"/>
              </w:rPr>
              <w:t>ha</w:t>
            </w:r>
            <w:r w:rsidRPr="00F13B38">
              <w:rPr>
                <w:rFonts w:asciiTheme="minorHAnsi" w:hAnsiTheme="minorHAnsi" w:cstheme="minorHAnsi"/>
                <w:color w:val="auto"/>
                <w:sz w:val="22"/>
                <w:szCs w:val="22"/>
              </w:rPr>
              <w:t>s a relatively young population compared to England as a whole. However, people are living longer and this is reflected in Birmingham’s future demography.</w:t>
            </w:r>
          </w:p>
          <w:p w:rsidR="000F3D48" w:rsidRPr="00F13B38" w:rsidRDefault="000F3D48" w:rsidP="00E53C50">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rFonts w:asciiTheme="minorHAnsi" w:hAnsiTheme="minorHAnsi" w:cstheme="minorHAnsi"/>
                <w:color w:val="auto"/>
                <w:sz w:val="22"/>
                <w:szCs w:val="22"/>
              </w:rPr>
              <w:t>There were estimated to be 143,800 people aged 65 and over living in Birmingham in 2014; of which almost 42,000 are aged over 80. People are living longer, which means that the population over 65 is predicted to increase by 29% by 2030; and in particular there will be around 58,000 people aged over 80, which is a significant increase of almost 40%.</w:t>
            </w:r>
          </w:p>
          <w:p w:rsidR="000F3D48" w:rsidRPr="00AA568F" w:rsidRDefault="000F3D48" w:rsidP="00BF6DCB">
            <w:pPr>
              <w:pStyle w:val="ListParagraph"/>
              <w:numPr>
                <w:ilvl w:val="0"/>
                <w:numId w:val="14"/>
              </w:num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sz w:val="22"/>
                <w:szCs w:val="22"/>
              </w:rPr>
              <w:t>The number of people estimated to have dementia is also predicted to increase in step with this to over 14,000 people by 2030.</w:t>
            </w:r>
            <w:r w:rsidR="00761D05" w:rsidRPr="00F13B38">
              <w:rPr>
                <w:rFonts w:asciiTheme="minorHAnsi" w:hAnsiTheme="minorHAnsi" w:cstheme="minorHAnsi"/>
                <w:color w:val="auto"/>
                <w:sz w:val="22"/>
                <w:szCs w:val="22"/>
              </w:rPr>
              <w:t xml:space="preserve"> </w:t>
            </w:r>
            <w:r w:rsidRPr="00F13B38">
              <w:rPr>
                <w:rFonts w:asciiTheme="minorHAnsi" w:hAnsiTheme="minorHAnsi" w:cstheme="minorHAnsi"/>
                <w:color w:val="auto"/>
                <w:sz w:val="22"/>
                <w:szCs w:val="22"/>
              </w:rPr>
              <w:t>(Source: Birmingham</w:t>
            </w:r>
            <w:r w:rsidR="00CC2E42">
              <w:rPr>
                <w:rFonts w:asciiTheme="minorHAnsi" w:hAnsiTheme="minorHAnsi" w:cstheme="minorHAnsi"/>
                <w:color w:val="auto"/>
                <w:sz w:val="22"/>
                <w:szCs w:val="22"/>
              </w:rPr>
              <w:t xml:space="preserve"> City Council </w:t>
            </w:r>
            <w:r w:rsidRPr="00F13B38">
              <w:rPr>
                <w:rFonts w:asciiTheme="minorHAnsi" w:hAnsiTheme="minorHAnsi" w:cstheme="minorHAnsi"/>
                <w:color w:val="auto"/>
                <w:sz w:val="22"/>
                <w:szCs w:val="22"/>
              </w:rPr>
              <w:t xml:space="preserve"> Market Position Statement for Older Adult Social Care 2015)</w:t>
            </w:r>
          </w:p>
          <w:p w:rsidR="00761D05" w:rsidRPr="00F13B38" w:rsidRDefault="00761D05" w:rsidP="00761D05">
            <w:pPr>
              <w:pStyle w:val="NoSpacing"/>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It is difficult to translate general projections of population increases into future demand for specific services like residential care, as so many different factors determine which services people will require and at which point in their lives. A flexible system is therefore required, which offers people choice, but that is able to expand and contract capacity when demand for services requires this.</w:t>
            </w:r>
          </w:p>
          <w:p w:rsidR="00761D05" w:rsidRPr="00AA568F" w:rsidRDefault="00761D05" w:rsidP="00BF6DCB">
            <w:pPr>
              <w:pStyle w:val="NoSpacing"/>
              <w:numPr>
                <w:ilvl w:val="0"/>
                <w:numId w:val="14"/>
              </w:numPr>
              <w:cnfStyle w:val="000000000000" w:firstRow="0" w:lastRow="0" w:firstColumn="0" w:lastColumn="0" w:oddVBand="0" w:evenVBand="0" w:oddHBand="0" w:evenHBand="0" w:firstRowFirstColumn="0" w:firstRowLastColumn="0" w:lastRowFirstColumn="0" w:lastRowLastColumn="0"/>
              <w:rPr>
                <w:color w:val="auto"/>
              </w:rPr>
            </w:pPr>
            <w:r w:rsidRPr="00F13B38">
              <w:rPr>
                <w:color w:val="auto"/>
              </w:rPr>
              <w:t xml:space="preserve">In addition to residential care, the Care Centres are used to provide Intermediate Care. The numbers of this type of Recovery or Enhanced Assessment Bed have been increasing in recent years, as Birmingham’s health and social care system has continued to address delayed transfers of care out of hospitals for those who are medically well enough and also supporting a reduction in the number of hospital admissions.   </w:t>
            </w:r>
          </w:p>
          <w:p w:rsidR="00820E43" w:rsidRPr="00F13B38" w:rsidRDefault="00820E43" w:rsidP="00820E43">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rsidR="00390768" w:rsidRPr="00F13B38" w:rsidRDefault="0085208A" w:rsidP="00390768">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F13B38">
              <w:rPr>
                <w:rFonts w:asciiTheme="minorHAnsi" w:hAnsiTheme="minorHAnsi" w:cstheme="minorHAnsi"/>
                <w:b/>
                <w:i/>
                <w:color w:val="auto"/>
              </w:rPr>
              <w:t xml:space="preserve">Market </w:t>
            </w:r>
            <w:r w:rsidR="0032229C" w:rsidRPr="00F13B38">
              <w:rPr>
                <w:rFonts w:asciiTheme="minorHAnsi" w:hAnsiTheme="minorHAnsi" w:cstheme="minorHAnsi"/>
                <w:b/>
                <w:i/>
                <w:color w:val="auto"/>
              </w:rPr>
              <w:t>analysis</w:t>
            </w:r>
          </w:p>
          <w:p w:rsidR="00750E06" w:rsidRPr="00F13B38" w:rsidRDefault="0032229C" w:rsidP="00E53C5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color w:val="auto"/>
                <w:sz w:val="22"/>
                <w:szCs w:val="22"/>
              </w:rPr>
              <w:t>Birmingham has a large and established market for residential and nursing homes for older adults</w:t>
            </w:r>
            <w:r w:rsidR="005D00EA" w:rsidRPr="00F13B38">
              <w:rPr>
                <w:color w:val="auto"/>
                <w:sz w:val="22"/>
                <w:szCs w:val="22"/>
              </w:rPr>
              <w:t>’</w:t>
            </w:r>
            <w:r w:rsidRPr="00F13B38">
              <w:rPr>
                <w:color w:val="auto"/>
                <w:sz w:val="22"/>
                <w:szCs w:val="22"/>
              </w:rPr>
              <w:t xml:space="preserve">. Currently within </w:t>
            </w:r>
            <w:r w:rsidR="005D00EA" w:rsidRPr="00F13B38">
              <w:rPr>
                <w:color w:val="auto"/>
                <w:sz w:val="22"/>
                <w:szCs w:val="22"/>
              </w:rPr>
              <w:t>Birmingham</w:t>
            </w:r>
            <w:r w:rsidRPr="00F13B38">
              <w:rPr>
                <w:color w:val="auto"/>
                <w:sz w:val="22"/>
                <w:szCs w:val="22"/>
              </w:rPr>
              <w:t xml:space="preserve"> there are 83 residential care homes, and 51 nursing homes caring for people aged over 65. There are around 2,500 beds within residential homes, and 2,200 beds within nursing homes within the city. Generally, homes </w:t>
            </w:r>
            <w:r w:rsidR="0091022D" w:rsidRPr="00F13B38">
              <w:rPr>
                <w:color w:val="auto"/>
                <w:sz w:val="22"/>
                <w:szCs w:val="22"/>
              </w:rPr>
              <w:t>f</w:t>
            </w:r>
            <w:r w:rsidRPr="00F13B38">
              <w:rPr>
                <w:color w:val="auto"/>
                <w:sz w:val="22"/>
                <w:szCs w:val="22"/>
              </w:rPr>
              <w:t>or older adults</w:t>
            </w:r>
            <w:r w:rsidR="005D00EA" w:rsidRPr="00F13B38">
              <w:rPr>
                <w:color w:val="auto"/>
                <w:sz w:val="22"/>
                <w:szCs w:val="22"/>
              </w:rPr>
              <w:t>’</w:t>
            </w:r>
            <w:r w:rsidRPr="00F13B38">
              <w:rPr>
                <w:color w:val="auto"/>
                <w:sz w:val="22"/>
                <w:szCs w:val="22"/>
              </w:rPr>
              <w:t xml:space="preserve"> are larger than those for younger adults; the average size of an older adult home in Birmingham is around 35 beds. </w:t>
            </w:r>
          </w:p>
          <w:p w:rsidR="00750E06" w:rsidRPr="00F13B38" w:rsidRDefault="0032229C" w:rsidP="00E53C5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color w:val="auto"/>
                <w:sz w:val="22"/>
                <w:szCs w:val="22"/>
              </w:rPr>
              <w:t>Around half of the older adults</w:t>
            </w:r>
            <w:r w:rsidR="005D00EA" w:rsidRPr="00F13B38">
              <w:rPr>
                <w:color w:val="auto"/>
                <w:sz w:val="22"/>
                <w:szCs w:val="22"/>
              </w:rPr>
              <w:t>’</w:t>
            </w:r>
            <w:r w:rsidRPr="00F13B38">
              <w:rPr>
                <w:color w:val="auto"/>
                <w:sz w:val="22"/>
                <w:szCs w:val="22"/>
              </w:rPr>
              <w:t xml:space="preserve"> care homes in the city say they are suitable for people with dementia. </w:t>
            </w:r>
          </w:p>
          <w:p w:rsidR="00264599" w:rsidRPr="00F13B38" w:rsidRDefault="0041419B" w:rsidP="00E53C5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color w:val="auto"/>
                <w:sz w:val="22"/>
                <w:szCs w:val="22"/>
              </w:rPr>
              <w:t>The Council</w:t>
            </w:r>
            <w:r w:rsidR="00E374FD" w:rsidRPr="00F13B38">
              <w:rPr>
                <w:color w:val="auto"/>
                <w:sz w:val="22"/>
                <w:szCs w:val="22"/>
              </w:rPr>
              <w:t xml:space="preserve"> has identified a requirement for additional dementia nursing beds specialising in supporting people with challenging behaviour. It has consistently found it hard to find appropriate placements for people with dementia and </w:t>
            </w:r>
            <w:r w:rsidR="005D00EA" w:rsidRPr="00F13B38">
              <w:rPr>
                <w:color w:val="auto"/>
                <w:sz w:val="22"/>
                <w:szCs w:val="22"/>
              </w:rPr>
              <w:t xml:space="preserve">associated </w:t>
            </w:r>
            <w:r w:rsidR="00E374FD" w:rsidRPr="00F13B38">
              <w:rPr>
                <w:color w:val="auto"/>
                <w:sz w:val="22"/>
                <w:szCs w:val="22"/>
              </w:rPr>
              <w:t>challenging behaviour in a timely manner, indicating a shortage of this type of provision in the market.</w:t>
            </w:r>
          </w:p>
          <w:p w:rsidR="00750E06" w:rsidRPr="00F13B38" w:rsidRDefault="00750E06" w:rsidP="00E53C50">
            <w:pPr>
              <w:pStyle w:val="Default"/>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F13B38">
              <w:rPr>
                <w:color w:val="auto"/>
                <w:sz w:val="22"/>
                <w:szCs w:val="22"/>
              </w:rPr>
              <w:t xml:space="preserve">Birmingham’s intention is to reduce dependence on </w:t>
            </w:r>
            <w:r w:rsidR="00E374FD" w:rsidRPr="00F13B38">
              <w:rPr>
                <w:color w:val="auto"/>
                <w:sz w:val="22"/>
                <w:szCs w:val="22"/>
              </w:rPr>
              <w:t xml:space="preserve">low dependency </w:t>
            </w:r>
            <w:r w:rsidRPr="00F13B38">
              <w:rPr>
                <w:color w:val="auto"/>
                <w:sz w:val="22"/>
                <w:szCs w:val="22"/>
              </w:rPr>
              <w:t xml:space="preserve">residential care </w:t>
            </w:r>
            <w:r w:rsidRPr="00F13B38">
              <w:rPr>
                <w:color w:val="auto"/>
                <w:sz w:val="22"/>
                <w:szCs w:val="22"/>
              </w:rPr>
              <w:lastRenderedPageBreak/>
              <w:t xml:space="preserve">by offering alternative options to people, for example </w:t>
            </w:r>
            <w:r w:rsidR="005D00EA" w:rsidRPr="00F13B38">
              <w:rPr>
                <w:color w:val="auto"/>
                <w:sz w:val="22"/>
                <w:szCs w:val="22"/>
              </w:rPr>
              <w:t xml:space="preserve">housing with care options such as </w:t>
            </w:r>
            <w:r w:rsidRPr="00F13B38">
              <w:rPr>
                <w:color w:val="auto"/>
                <w:sz w:val="22"/>
                <w:szCs w:val="22"/>
              </w:rPr>
              <w:t xml:space="preserve">Extra Care </w:t>
            </w:r>
            <w:r w:rsidR="005D00EA" w:rsidRPr="00F13B38">
              <w:rPr>
                <w:color w:val="auto"/>
                <w:sz w:val="22"/>
                <w:szCs w:val="22"/>
              </w:rPr>
              <w:t>or Supported Living</w:t>
            </w:r>
            <w:r w:rsidRPr="00F13B38">
              <w:rPr>
                <w:color w:val="auto"/>
                <w:sz w:val="22"/>
                <w:szCs w:val="22"/>
              </w:rPr>
              <w:t xml:space="preserve"> or support to live in their own homes.</w:t>
            </w:r>
          </w:p>
          <w:p w:rsidR="00750E06" w:rsidRPr="00F13B38" w:rsidRDefault="00750E06" w:rsidP="00750E06">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AA568F">
              <w:rPr>
                <w:rFonts w:asciiTheme="minorHAnsi" w:hAnsiTheme="minorHAnsi" w:cstheme="minorHAnsi"/>
                <w:color w:val="auto"/>
                <w:sz w:val="20"/>
                <w:szCs w:val="20"/>
              </w:rPr>
              <w:t>(Source: Birmingham’s Market Position Statement for Older Adult Social Care 2015)</w:t>
            </w:r>
          </w:p>
          <w:p w:rsidR="00E53C50" w:rsidRPr="00F13B38" w:rsidRDefault="00E53C50" w:rsidP="007E780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AA568F" w:rsidRPr="00F13B38" w:rsidTr="00FB15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Borders>
              <w:left w:val="none" w:sz="0" w:space="0" w:color="auto"/>
              <w:right w:val="none" w:sz="0" w:space="0" w:color="auto"/>
            </w:tcBorders>
            <w:shd w:val="clear" w:color="auto" w:fill="DBE5F1" w:themeFill="accent1" w:themeFillTint="33"/>
          </w:tcPr>
          <w:p w:rsidR="00822206" w:rsidRPr="00F13B38" w:rsidRDefault="00E8676A" w:rsidP="000920C7">
            <w:pPr>
              <w:rPr>
                <w:rFonts w:asciiTheme="minorHAnsi" w:hAnsiTheme="minorHAnsi" w:cstheme="minorHAnsi"/>
                <w:b w:val="0"/>
                <w:color w:val="auto"/>
              </w:rPr>
            </w:pPr>
            <w:r w:rsidRPr="00F13B38">
              <w:rPr>
                <w:rFonts w:asciiTheme="minorHAnsi" w:hAnsiTheme="minorHAnsi" w:cstheme="minorHAnsi"/>
                <w:color w:val="auto"/>
              </w:rPr>
              <w:lastRenderedPageBreak/>
              <w:t>Scope</w:t>
            </w:r>
          </w:p>
        </w:tc>
        <w:tc>
          <w:tcPr>
            <w:tcW w:w="8725" w:type="dxa"/>
            <w:tcBorders>
              <w:left w:val="none" w:sz="0" w:space="0" w:color="auto"/>
              <w:right w:val="none" w:sz="0" w:space="0" w:color="auto"/>
            </w:tcBorders>
            <w:shd w:val="clear" w:color="auto" w:fill="DBE5F1" w:themeFill="accent1" w:themeFillTint="33"/>
          </w:tcPr>
          <w:p w:rsidR="00EF4314" w:rsidRPr="00F13B38" w:rsidRDefault="001950A7" w:rsidP="00345D99">
            <w:pPr>
              <w:widowControl w:val="0"/>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13B38">
              <w:rPr>
                <w:rFonts w:asciiTheme="minorHAnsi" w:hAnsiTheme="minorHAnsi" w:cstheme="minorHAnsi"/>
                <w:color w:val="auto"/>
              </w:rPr>
              <w:t xml:space="preserve">The internal Specialist Care Service (SCS) </w:t>
            </w:r>
            <w:r w:rsidR="00345D99" w:rsidRPr="00F13B38">
              <w:rPr>
                <w:rFonts w:asciiTheme="minorHAnsi" w:hAnsiTheme="minorHAnsi" w:cstheme="minorHAnsi"/>
                <w:color w:val="auto"/>
              </w:rPr>
              <w:t>Care Centres</w:t>
            </w:r>
            <w:r w:rsidRPr="00F13B38">
              <w:rPr>
                <w:rFonts w:asciiTheme="minorHAnsi" w:hAnsiTheme="minorHAnsi" w:cstheme="minorHAnsi"/>
                <w:color w:val="auto"/>
              </w:rPr>
              <w:t>.</w:t>
            </w:r>
          </w:p>
        </w:tc>
      </w:tr>
    </w:tbl>
    <w:p w:rsidR="00863E78" w:rsidRPr="00F13B38" w:rsidRDefault="00863E78" w:rsidP="00863E78">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725"/>
      </w:tblGrid>
      <w:tr w:rsidR="00AA568F" w:rsidRPr="00F13B38" w:rsidTr="001A168B">
        <w:tc>
          <w:tcPr>
            <w:tcW w:w="10534" w:type="dxa"/>
            <w:gridSpan w:val="2"/>
            <w:shd w:val="clear" w:color="auto" w:fill="DBE5F1" w:themeFill="accent1" w:themeFillTint="33"/>
          </w:tcPr>
          <w:p w:rsidR="00863E78" w:rsidRPr="00F13B38" w:rsidRDefault="00863E78" w:rsidP="00716635">
            <w:pPr>
              <w:rPr>
                <w:rFonts w:asciiTheme="minorHAnsi" w:hAnsiTheme="minorHAnsi" w:cstheme="minorHAnsi"/>
                <w:b/>
              </w:rPr>
            </w:pPr>
            <w:r w:rsidRPr="00F13B38">
              <w:rPr>
                <w:rFonts w:asciiTheme="minorHAnsi" w:hAnsiTheme="minorHAnsi" w:cstheme="minorHAnsi"/>
                <w:b/>
              </w:rPr>
              <w:t>PROJECT DEFINITION</w:t>
            </w:r>
          </w:p>
        </w:tc>
      </w:tr>
      <w:tr w:rsidR="00AA568F" w:rsidRPr="00F13B38" w:rsidTr="001A168B">
        <w:tc>
          <w:tcPr>
            <w:tcW w:w="1809" w:type="dxa"/>
            <w:shd w:val="clear" w:color="auto" w:fill="DBE5F1" w:themeFill="accent1" w:themeFillTint="33"/>
          </w:tcPr>
          <w:p w:rsidR="00863E78" w:rsidRPr="00F13B38" w:rsidRDefault="004F344C" w:rsidP="008429E9">
            <w:pPr>
              <w:spacing w:after="0" w:line="240" w:lineRule="auto"/>
              <w:rPr>
                <w:rFonts w:asciiTheme="minorHAnsi" w:hAnsiTheme="minorHAnsi" w:cstheme="minorHAnsi"/>
                <w:b/>
              </w:rPr>
            </w:pPr>
            <w:r w:rsidRPr="00F13B38">
              <w:rPr>
                <w:rFonts w:asciiTheme="minorHAnsi" w:hAnsiTheme="minorHAnsi" w:cstheme="minorHAnsi"/>
                <w:b/>
              </w:rPr>
              <w:t>Way Forward</w:t>
            </w:r>
          </w:p>
        </w:tc>
        <w:tc>
          <w:tcPr>
            <w:tcW w:w="8725" w:type="dxa"/>
            <w:shd w:val="clear" w:color="auto" w:fill="auto"/>
          </w:tcPr>
          <w:p w:rsidR="00C84BDB" w:rsidRPr="00F13B38" w:rsidRDefault="00A16E73" w:rsidP="00A4229C">
            <w:pPr>
              <w:tabs>
                <w:tab w:val="num" w:pos="2160"/>
              </w:tabs>
              <w:spacing w:after="0" w:line="240" w:lineRule="auto"/>
              <w:rPr>
                <w:rFonts w:asciiTheme="minorHAnsi" w:hAnsiTheme="minorHAnsi" w:cstheme="minorHAnsi"/>
              </w:rPr>
            </w:pPr>
            <w:r w:rsidRPr="00F13B38">
              <w:rPr>
                <w:rFonts w:asciiTheme="minorHAnsi" w:hAnsiTheme="minorHAnsi" w:cstheme="minorHAnsi"/>
              </w:rPr>
              <w:t xml:space="preserve">To consult upon a range of proposals, </w:t>
            </w:r>
            <w:r w:rsidR="00345D99" w:rsidRPr="00F13B38">
              <w:rPr>
                <w:rFonts w:asciiTheme="minorHAnsi" w:hAnsiTheme="minorHAnsi" w:cstheme="minorHAnsi"/>
              </w:rPr>
              <w:t xml:space="preserve">to determine the best future use and operation of </w:t>
            </w:r>
            <w:r w:rsidR="002D7771">
              <w:rPr>
                <w:rFonts w:asciiTheme="minorHAnsi" w:hAnsiTheme="minorHAnsi" w:cstheme="minorHAnsi"/>
              </w:rPr>
              <w:t xml:space="preserve">two of the </w:t>
            </w:r>
            <w:r w:rsidR="005D5BC1" w:rsidRPr="00F13B38">
              <w:rPr>
                <w:rFonts w:asciiTheme="minorHAnsi" w:hAnsiTheme="minorHAnsi" w:cstheme="minorHAnsi"/>
              </w:rPr>
              <w:t>four</w:t>
            </w:r>
            <w:r w:rsidR="00345D99" w:rsidRPr="00F13B38">
              <w:rPr>
                <w:rFonts w:asciiTheme="minorHAnsi" w:hAnsiTheme="minorHAnsi" w:cstheme="minorHAnsi"/>
              </w:rPr>
              <w:t xml:space="preserve"> Care Centres</w:t>
            </w:r>
            <w:r w:rsidR="002D7771">
              <w:rPr>
                <w:rFonts w:asciiTheme="minorHAnsi" w:hAnsiTheme="minorHAnsi" w:cstheme="minorHAnsi"/>
              </w:rPr>
              <w:t xml:space="preserve"> (Norman Power Centre and Perry Tree Centre)</w:t>
            </w:r>
            <w:r w:rsidR="001950A7" w:rsidRPr="00F13B38">
              <w:rPr>
                <w:rFonts w:asciiTheme="minorHAnsi" w:hAnsiTheme="minorHAnsi" w:cstheme="minorHAnsi"/>
              </w:rPr>
              <w:t>.</w:t>
            </w:r>
          </w:p>
          <w:p w:rsidR="008429E9" w:rsidRPr="00F13B38" w:rsidRDefault="008429E9" w:rsidP="008429E9">
            <w:pPr>
              <w:tabs>
                <w:tab w:val="num" w:pos="2160"/>
              </w:tabs>
              <w:spacing w:after="0" w:line="240" w:lineRule="auto"/>
              <w:ind w:left="459"/>
              <w:rPr>
                <w:rFonts w:asciiTheme="minorHAnsi" w:hAnsiTheme="minorHAnsi" w:cstheme="minorHAnsi"/>
              </w:rPr>
            </w:pPr>
          </w:p>
        </w:tc>
      </w:tr>
      <w:tr w:rsidR="00AA568F" w:rsidRPr="00F13B38" w:rsidTr="001A168B">
        <w:trPr>
          <w:trHeight w:val="461"/>
        </w:trPr>
        <w:tc>
          <w:tcPr>
            <w:tcW w:w="1809" w:type="dxa"/>
            <w:shd w:val="clear" w:color="auto" w:fill="DBE5F1" w:themeFill="accent1" w:themeFillTint="33"/>
          </w:tcPr>
          <w:p w:rsidR="00863E78" w:rsidRPr="00F13B38" w:rsidRDefault="00863E78" w:rsidP="008429E9">
            <w:pPr>
              <w:spacing w:after="0" w:line="240" w:lineRule="auto"/>
              <w:rPr>
                <w:rFonts w:asciiTheme="minorHAnsi" w:hAnsiTheme="minorHAnsi" w:cstheme="minorHAnsi"/>
                <w:b/>
              </w:rPr>
            </w:pPr>
            <w:r w:rsidRPr="00F13B38">
              <w:rPr>
                <w:rFonts w:asciiTheme="minorHAnsi" w:hAnsiTheme="minorHAnsi" w:cstheme="minorHAnsi"/>
                <w:b/>
              </w:rPr>
              <w:t>Dependencies</w:t>
            </w:r>
          </w:p>
        </w:tc>
        <w:tc>
          <w:tcPr>
            <w:tcW w:w="8725" w:type="dxa"/>
            <w:shd w:val="clear" w:color="auto" w:fill="auto"/>
          </w:tcPr>
          <w:p w:rsidR="00A4229C" w:rsidRPr="00F13B38" w:rsidRDefault="001950A7" w:rsidP="001950A7">
            <w:pPr>
              <w:pStyle w:val="NoSpacing"/>
              <w:numPr>
                <w:ilvl w:val="0"/>
                <w:numId w:val="1"/>
              </w:numPr>
            </w:pPr>
            <w:r w:rsidRPr="00F13B38">
              <w:t>The capacity of an implementation team of Social Workers to carry out the required assessment and support planning work with existing service users and implement the recommended option.</w:t>
            </w:r>
          </w:p>
          <w:p w:rsidR="0091022D" w:rsidRPr="00F13B38" w:rsidRDefault="005D5BC1" w:rsidP="005D5BC1">
            <w:pPr>
              <w:pStyle w:val="NoSpacing"/>
              <w:numPr>
                <w:ilvl w:val="0"/>
                <w:numId w:val="1"/>
              </w:numPr>
            </w:pPr>
            <w:r w:rsidRPr="00F13B38">
              <w:t>The Maximising Independence of Adults’ – Internal Care Services – Older Adult</w:t>
            </w:r>
            <w:r w:rsidR="002D7771">
              <w:t>s</w:t>
            </w:r>
            <w:r w:rsidRPr="00F13B38">
              <w:t xml:space="preserve">’ </w:t>
            </w:r>
            <w:r w:rsidR="004A5340">
              <w:t>D</w:t>
            </w:r>
            <w:r w:rsidRPr="00F13B38">
              <w:t xml:space="preserve">ay Care project which includes proposals in relation to the </w:t>
            </w:r>
            <w:r w:rsidR="002D7771">
              <w:t>five</w:t>
            </w:r>
            <w:r w:rsidR="002D7771" w:rsidRPr="00F13B38">
              <w:t xml:space="preserve"> </w:t>
            </w:r>
            <w:r w:rsidRPr="00F13B38">
              <w:t>internal day care services for older adults</w:t>
            </w:r>
            <w:r w:rsidR="002D7771">
              <w:t xml:space="preserve"> operating from the existing four Care Centres</w:t>
            </w:r>
            <w:r w:rsidRPr="00F13B38">
              <w:t xml:space="preserve">, including a proposal to close the services </w:t>
            </w:r>
          </w:p>
          <w:p w:rsidR="007E780F" w:rsidRPr="00F13B38" w:rsidRDefault="00EA75B3" w:rsidP="001950A7">
            <w:pPr>
              <w:pStyle w:val="NoSpacing"/>
              <w:numPr>
                <w:ilvl w:val="0"/>
                <w:numId w:val="1"/>
              </w:numPr>
            </w:pPr>
            <w:r w:rsidRPr="00F13B38">
              <w:t xml:space="preserve">Joint NHS and Council decision making through </w:t>
            </w:r>
            <w:r w:rsidR="00425E39">
              <w:t xml:space="preserve">the </w:t>
            </w:r>
            <w:r w:rsidRPr="00F13B38">
              <w:t>Sustainability and Transformation Plan governance processes.</w:t>
            </w:r>
          </w:p>
          <w:p w:rsidR="00124950" w:rsidRPr="00F13B38" w:rsidRDefault="00124950" w:rsidP="008429E9">
            <w:pPr>
              <w:spacing w:after="0" w:line="240" w:lineRule="auto"/>
              <w:ind w:left="360"/>
              <w:rPr>
                <w:rFonts w:asciiTheme="minorHAnsi" w:hAnsiTheme="minorHAnsi" w:cstheme="minorHAnsi"/>
              </w:rPr>
            </w:pPr>
          </w:p>
        </w:tc>
      </w:tr>
    </w:tbl>
    <w:p w:rsidR="008429E9" w:rsidRPr="00F13B38" w:rsidRDefault="008429E9">
      <w:pPr>
        <w:spacing w:after="0" w:line="240" w:lineRule="auto"/>
        <w:rPr>
          <w:rFonts w:asciiTheme="minorHAnsi" w:hAnsiTheme="minorHAnsi" w:cstheme="minorHAnsi"/>
        </w:rPr>
      </w:pPr>
      <w:r w:rsidRPr="00F13B38">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AA568F" w:rsidRPr="00F13B38" w:rsidTr="001A168B">
        <w:trPr>
          <w:trHeight w:val="569"/>
        </w:trPr>
        <w:tc>
          <w:tcPr>
            <w:tcW w:w="10456" w:type="dxa"/>
            <w:shd w:val="clear" w:color="auto" w:fill="DBE5F1" w:themeFill="accent1" w:themeFillTint="33"/>
          </w:tcPr>
          <w:p w:rsidR="00863E78" w:rsidRPr="00F13B38" w:rsidRDefault="00E8676A" w:rsidP="00716635">
            <w:pPr>
              <w:rPr>
                <w:rFonts w:asciiTheme="minorHAnsi" w:hAnsiTheme="minorHAnsi" w:cstheme="minorHAnsi"/>
                <w:b/>
              </w:rPr>
            </w:pPr>
            <w:r w:rsidRPr="00F13B38">
              <w:rPr>
                <w:rFonts w:asciiTheme="minorHAnsi" w:hAnsiTheme="minorHAnsi" w:cstheme="minorHAnsi"/>
                <w:b/>
              </w:rPr>
              <w:lastRenderedPageBreak/>
              <w:t>Options Appraisal</w:t>
            </w:r>
          </w:p>
        </w:tc>
      </w:tr>
    </w:tbl>
    <w:p w:rsidR="008429E9" w:rsidRPr="00F13B38" w:rsidRDefault="008429E9">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938"/>
      </w:tblGrid>
      <w:tr w:rsidR="00AA568F" w:rsidRPr="00F13B38" w:rsidTr="001A168B">
        <w:tc>
          <w:tcPr>
            <w:tcW w:w="2518" w:type="dxa"/>
            <w:tcBorders>
              <w:bottom w:val="nil"/>
            </w:tcBorders>
            <w:shd w:val="clear" w:color="auto" w:fill="DBE5F1" w:themeFill="accent1" w:themeFillTint="33"/>
          </w:tcPr>
          <w:p w:rsidR="001E30AC" w:rsidRPr="00F13B38" w:rsidRDefault="001E30AC" w:rsidP="008429E9">
            <w:pPr>
              <w:spacing w:after="0" w:line="240" w:lineRule="auto"/>
              <w:rPr>
                <w:rFonts w:asciiTheme="minorHAnsi" w:hAnsiTheme="minorHAnsi" w:cstheme="minorHAnsi"/>
                <w:b/>
                <w:bCs/>
              </w:rPr>
            </w:pPr>
            <w:r w:rsidRPr="00F13B38">
              <w:rPr>
                <w:rFonts w:asciiTheme="minorHAnsi" w:hAnsiTheme="minorHAnsi" w:cstheme="minorHAnsi"/>
                <w:b/>
                <w:bCs/>
              </w:rPr>
              <w:t xml:space="preserve">Option 1 </w:t>
            </w:r>
          </w:p>
        </w:tc>
        <w:tc>
          <w:tcPr>
            <w:tcW w:w="7938" w:type="dxa"/>
            <w:tcBorders>
              <w:bottom w:val="nil"/>
            </w:tcBorders>
          </w:tcPr>
          <w:p w:rsidR="001E30AC" w:rsidRPr="00F13B38" w:rsidRDefault="0057524E" w:rsidP="00F44B2F">
            <w:r w:rsidRPr="00F13B38">
              <w:t>No change</w:t>
            </w:r>
          </w:p>
        </w:tc>
      </w:tr>
      <w:tr w:rsidR="00AA568F" w:rsidRPr="00F13B38" w:rsidTr="0047673F">
        <w:trPr>
          <w:trHeight w:hRule="exact" w:val="10"/>
        </w:trPr>
        <w:tc>
          <w:tcPr>
            <w:tcW w:w="2518" w:type="dxa"/>
            <w:tcBorders>
              <w:top w:val="nil"/>
            </w:tcBorders>
            <w:shd w:val="clear" w:color="auto" w:fill="C6D9F1"/>
          </w:tcPr>
          <w:p w:rsidR="001E30AC" w:rsidRPr="00F13B38" w:rsidRDefault="001E30AC" w:rsidP="008429E9">
            <w:pPr>
              <w:spacing w:after="0" w:line="240" w:lineRule="auto"/>
              <w:rPr>
                <w:rFonts w:asciiTheme="minorHAnsi" w:hAnsiTheme="minorHAnsi" w:cstheme="minorHAnsi"/>
                <w:b/>
                <w:bCs/>
              </w:rPr>
            </w:pPr>
            <w:r w:rsidRPr="00F13B38">
              <w:rPr>
                <w:rFonts w:asciiTheme="minorHAnsi" w:hAnsiTheme="minorHAnsi" w:cstheme="minorHAnsi"/>
                <w:b/>
                <w:bCs/>
              </w:rPr>
              <w:t xml:space="preserve">Information Considered </w:t>
            </w:r>
          </w:p>
        </w:tc>
        <w:tc>
          <w:tcPr>
            <w:tcW w:w="7938" w:type="dxa"/>
            <w:tcBorders>
              <w:top w:val="nil"/>
            </w:tcBorders>
          </w:tcPr>
          <w:p w:rsidR="001E30AC" w:rsidRPr="00F13B38" w:rsidRDefault="001E30AC" w:rsidP="00F44B2F">
            <w:r w:rsidRPr="00F13B38">
              <w:t xml:space="preserve">Analysis of the following was carried out: Market-wide costs, Market wide quality, Market-wide capacity, Service occupancy, Peak activity, Service users, </w:t>
            </w:r>
            <w:r w:rsidR="008B29B6" w:rsidRPr="00F13B38">
              <w:t>and other</w:t>
            </w:r>
            <w:r w:rsidRPr="00F13B38">
              <w:t xml:space="preserve"> uses of the service.</w:t>
            </w:r>
          </w:p>
        </w:tc>
      </w:tr>
      <w:tr w:rsidR="00AA568F" w:rsidRPr="00F13B38" w:rsidTr="001A168B">
        <w:tc>
          <w:tcPr>
            <w:tcW w:w="2518" w:type="dxa"/>
            <w:shd w:val="clear" w:color="auto" w:fill="DBE5F1" w:themeFill="accent1" w:themeFillTint="33"/>
          </w:tcPr>
          <w:p w:rsidR="001E30AC" w:rsidRPr="00F13B38" w:rsidRDefault="001E30AC" w:rsidP="008429E9">
            <w:pPr>
              <w:spacing w:after="0" w:line="240" w:lineRule="auto"/>
              <w:rPr>
                <w:rFonts w:asciiTheme="minorHAnsi" w:hAnsiTheme="minorHAnsi" w:cstheme="minorHAnsi"/>
                <w:b/>
                <w:bCs/>
              </w:rPr>
            </w:pPr>
            <w:r w:rsidRPr="00F13B38">
              <w:rPr>
                <w:rFonts w:asciiTheme="minorHAnsi" w:hAnsiTheme="minorHAnsi" w:cstheme="minorHAnsi"/>
                <w:b/>
                <w:bCs/>
              </w:rPr>
              <w:t>Information Considered</w:t>
            </w:r>
          </w:p>
        </w:tc>
        <w:tc>
          <w:tcPr>
            <w:tcW w:w="7938" w:type="dxa"/>
          </w:tcPr>
          <w:p w:rsidR="001E30AC" w:rsidRPr="00F13B38" w:rsidRDefault="001E30AC" w:rsidP="001E30AC">
            <w:pPr>
              <w:pStyle w:val="NoSpacing"/>
            </w:pPr>
            <w:r w:rsidRPr="00F13B38">
              <w:t>Analysis of the followi</w:t>
            </w:r>
            <w:r w:rsidR="00463D44" w:rsidRPr="00F13B38">
              <w:t>ng was carried out: market costs, market quality, market capacity</w:t>
            </w:r>
            <w:r w:rsidRPr="00F13B38">
              <w:t>.</w:t>
            </w:r>
          </w:p>
          <w:p w:rsidR="001E30AC" w:rsidRPr="00F13B38" w:rsidRDefault="001E30AC" w:rsidP="001E30AC">
            <w:pPr>
              <w:pStyle w:val="NoSpacing"/>
            </w:pPr>
          </w:p>
          <w:p w:rsidR="001E30AC" w:rsidRPr="00F13B38" w:rsidRDefault="001E30AC" w:rsidP="001E30AC">
            <w:pPr>
              <w:pStyle w:val="NoSpacing"/>
              <w:rPr>
                <w:b/>
              </w:rPr>
            </w:pPr>
            <w:r w:rsidRPr="00F13B38">
              <w:rPr>
                <w:b/>
              </w:rPr>
              <w:t>Finance</w:t>
            </w:r>
          </w:p>
          <w:p w:rsidR="001E30AC" w:rsidRPr="00F13B38" w:rsidRDefault="001E30AC" w:rsidP="001E30AC">
            <w:pPr>
              <w:pStyle w:val="NoSpacing"/>
              <w:numPr>
                <w:ilvl w:val="0"/>
                <w:numId w:val="16"/>
              </w:numPr>
            </w:pPr>
            <w:r w:rsidRPr="00F13B38">
              <w:t>The net operational saving to the Council of the implementation of this proposal is detailed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541"/>
              <w:gridCol w:w="1541"/>
              <w:gridCol w:w="1541"/>
              <w:gridCol w:w="1541"/>
            </w:tblGrid>
            <w:tr w:rsidR="00AA568F" w:rsidRPr="00F13B38" w:rsidTr="00F44B2F">
              <w:tc>
                <w:tcPr>
                  <w:tcW w:w="1541" w:type="dxa"/>
                  <w:shd w:val="clear" w:color="auto" w:fill="auto"/>
                </w:tcPr>
                <w:p w:rsidR="001E30AC" w:rsidRPr="00F13B38" w:rsidRDefault="001E30AC" w:rsidP="00F44B2F">
                  <w:pPr>
                    <w:pStyle w:val="NoSpacing"/>
                    <w:jc w:val="center"/>
                  </w:pPr>
                  <w:r w:rsidRPr="00F13B38">
                    <w:t>2016/17</w:t>
                  </w:r>
                </w:p>
                <w:p w:rsidR="001E30AC" w:rsidRPr="00F13B38" w:rsidRDefault="001E30AC" w:rsidP="00F44B2F">
                  <w:pPr>
                    <w:pStyle w:val="NoSpacing"/>
                    <w:jc w:val="center"/>
                  </w:pPr>
                  <w:r w:rsidRPr="00F13B38">
                    <w:t>£000</w:t>
                  </w:r>
                </w:p>
              </w:tc>
              <w:tc>
                <w:tcPr>
                  <w:tcW w:w="1541" w:type="dxa"/>
                  <w:shd w:val="clear" w:color="auto" w:fill="auto"/>
                </w:tcPr>
                <w:p w:rsidR="001E30AC" w:rsidRPr="00F13B38" w:rsidRDefault="001E30AC" w:rsidP="00F44B2F">
                  <w:pPr>
                    <w:pStyle w:val="NoSpacing"/>
                    <w:jc w:val="center"/>
                  </w:pPr>
                  <w:r w:rsidRPr="00F13B38">
                    <w:t>2017/18</w:t>
                  </w:r>
                </w:p>
                <w:p w:rsidR="001E30AC" w:rsidRPr="00F13B38" w:rsidRDefault="001E30AC" w:rsidP="00F44B2F">
                  <w:pPr>
                    <w:pStyle w:val="NoSpacing"/>
                    <w:jc w:val="center"/>
                  </w:pPr>
                  <w:r w:rsidRPr="00F13B38">
                    <w:t>£000</w:t>
                  </w:r>
                </w:p>
              </w:tc>
              <w:tc>
                <w:tcPr>
                  <w:tcW w:w="1541" w:type="dxa"/>
                  <w:shd w:val="clear" w:color="auto" w:fill="auto"/>
                </w:tcPr>
                <w:p w:rsidR="001E30AC" w:rsidRPr="00F13B38" w:rsidRDefault="001E30AC" w:rsidP="00F44B2F">
                  <w:pPr>
                    <w:pStyle w:val="NoSpacing"/>
                    <w:jc w:val="center"/>
                  </w:pPr>
                  <w:r w:rsidRPr="00F13B38">
                    <w:t>2018/19</w:t>
                  </w:r>
                </w:p>
                <w:p w:rsidR="001E30AC" w:rsidRPr="00F13B38" w:rsidRDefault="001E30AC" w:rsidP="00F44B2F">
                  <w:pPr>
                    <w:pStyle w:val="NoSpacing"/>
                    <w:jc w:val="center"/>
                  </w:pPr>
                  <w:r w:rsidRPr="00F13B38">
                    <w:t>£000</w:t>
                  </w:r>
                </w:p>
              </w:tc>
              <w:tc>
                <w:tcPr>
                  <w:tcW w:w="1541" w:type="dxa"/>
                  <w:shd w:val="clear" w:color="auto" w:fill="auto"/>
                </w:tcPr>
                <w:p w:rsidR="001E30AC" w:rsidRPr="00F13B38" w:rsidRDefault="001E30AC" w:rsidP="00F44B2F">
                  <w:pPr>
                    <w:pStyle w:val="NoSpacing"/>
                    <w:jc w:val="center"/>
                  </w:pPr>
                  <w:r w:rsidRPr="00F13B38">
                    <w:t>2019/20</w:t>
                  </w:r>
                </w:p>
                <w:p w:rsidR="001E30AC" w:rsidRPr="00F13B38" w:rsidRDefault="001E30AC" w:rsidP="00F44B2F">
                  <w:pPr>
                    <w:pStyle w:val="NoSpacing"/>
                    <w:jc w:val="center"/>
                  </w:pPr>
                  <w:r w:rsidRPr="00F13B38">
                    <w:t>£000</w:t>
                  </w:r>
                </w:p>
              </w:tc>
              <w:tc>
                <w:tcPr>
                  <w:tcW w:w="1541" w:type="dxa"/>
                  <w:shd w:val="clear" w:color="auto" w:fill="auto"/>
                </w:tcPr>
                <w:p w:rsidR="001E30AC" w:rsidRPr="00F13B38" w:rsidRDefault="001E30AC" w:rsidP="00F44B2F">
                  <w:pPr>
                    <w:pStyle w:val="NoSpacing"/>
                    <w:jc w:val="center"/>
                  </w:pPr>
                  <w:r w:rsidRPr="00F13B38">
                    <w:t>2020/21</w:t>
                  </w:r>
                </w:p>
                <w:p w:rsidR="001E30AC" w:rsidRPr="00F13B38" w:rsidRDefault="001E30AC" w:rsidP="00F44B2F">
                  <w:pPr>
                    <w:pStyle w:val="NoSpacing"/>
                    <w:jc w:val="center"/>
                  </w:pPr>
                  <w:r w:rsidRPr="00F13B38">
                    <w:t>£000</w:t>
                  </w:r>
                </w:p>
              </w:tc>
            </w:tr>
            <w:tr w:rsidR="00AA568F" w:rsidRPr="00F13B38" w:rsidTr="00F44B2F">
              <w:tc>
                <w:tcPr>
                  <w:tcW w:w="1541" w:type="dxa"/>
                  <w:shd w:val="clear" w:color="auto" w:fill="auto"/>
                </w:tcPr>
                <w:p w:rsidR="001E30AC" w:rsidRPr="00F13B38" w:rsidRDefault="001E30AC" w:rsidP="00F44B2F">
                  <w:pPr>
                    <w:pStyle w:val="NoSpacing"/>
                    <w:jc w:val="center"/>
                  </w:pPr>
                  <w:r w:rsidRPr="00F13B38">
                    <w:t>0</w:t>
                  </w:r>
                </w:p>
              </w:tc>
              <w:tc>
                <w:tcPr>
                  <w:tcW w:w="1541" w:type="dxa"/>
                  <w:shd w:val="clear" w:color="auto" w:fill="auto"/>
                </w:tcPr>
                <w:p w:rsidR="001E30AC" w:rsidRPr="00F13B38" w:rsidRDefault="001E30AC" w:rsidP="00F44B2F">
                  <w:pPr>
                    <w:pStyle w:val="NoSpacing"/>
                    <w:jc w:val="center"/>
                  </w:pPr>
                  <w:r w:rsidRPr="00F13B38">
                    <w:t>0</w:t>
                  </w:r>
                </w:p>
              </w:tc>
              <w:tc>
                <w:tcPr>
                  <w:tcW w:w="1541" w:type="dxa"/>
                  <w:shd w:val="clear" w:color="auto" w:fill="auto"/>
                </w:tcPr>
                <w:p w:rsidR="001E30AC" w:rsidRPr="00F13B38" w:rsidRDefault="001E30AC" w:rsidP="00F44B2F">
                  <w:pPr>
                    <w:pStyle w:val="NoSpacing"/>
                    <w:jc w:val="center"/>
                  </w:pPr>
                  <w:r w:rsidRPr="00F13B38">
                    <w:t>0</w:t>
                  </w:r>
                </w:p>
              </w:tc>
              <w:tc>
                <w:tcPr>
                  <w:tcW w:w="1541" w:type="dxa"/>
                  <w:shd w:val="clear" w:color="auto" w:fill="auto"/>
                </w:tcPr>
                <w:p w:rsidR="001E30AC" w:rsidRPr="00F13B38" w:rsidRDefault="001E30AC" w:rsidP="00F44B2F">
                  <w:pPr>
                    <w:pStyle w:val="NoSpacing"/>
                    <w:jc w:val="center"/>
                  </w:pPr>
                  <w:r w:rsidRPr="00F13B38">
                    <w:t>0</w:t>
                  </w:r>
                </w:p>
              </w:tc>
              <w:tc>
                <w:tcPr>
                  <w:tcW w:w="1541" w:type="dxa"/>
                  <w:shd w:val="clear" w:color="auto" w:fill="auto"/>
                </w:tcPr>
                <w:p w:rsidR="001E30AC" w:rsidRPr="00F13B38" w:rsidRDefault="001E30AC" w:rsidP="00F44B2F">
                  <w:pPr>
                    <w:pStyle w:val="NoSpacing"/>
                    <w:jc w:val="center"/>
                  </w:pPr>
                  <w:r w:rsidRPr="00F13B38">
                    <w:t>0</w:t>
                  </w:r>
                </w:p>
              </w:tc>
            </w:tr>
          </w:tbl>
          <w:p w:rsidR="001E30AC" w:rsidRPr="00F13B38" w:rsidRDefault="001E30AC" w:rsidP="001E30AC">
            <w:pPr>
              <w:pStyle w:val="NoSpacing"/>
            </w:pPr>
          </w:p>
        </w:tc>
      </w:tr>
      <w:tr w:rsidR="00AA568F" w:rsidRPr="00F13B38" w:rsidTr="001A168B">
        <w:tc>
          <w:tcPr>
            <w:tcW w:w="2518" w:type="dxa"/>
            <w:shd w:val="clear" w:color="auto" w:fill="DBE5F1" w:themeFill="accent1" w:themeFillTint="33"/>
          </w:tcPr>
          <w:p w:rsidR="001E30AC" w:rsidRPr="00F13B38" w:rsidRDefault="001E30AC" w:rsidP="008429E9">
            <w:pPr>
              <w:spacing w:after="0" w:line="240" w:lineRule="auto"/>
              <w:rPr>
                <w:rFonts w:asciiTheme="minorHAnsi" w:hAnsiTheme="minorHAnsi" w:cstheme="minorHAnsi"/>
                <w:b/>
                <w:bCs/>
              </w:rPr>
            </w:pPr>
          </w:p>
          <w:p w:rsidR="001E30AC" w:rsidRPr="00F13B38" w:rsidRDefault="00C16EAA" w:rsidP="008429E9">
            <w:pPr>
              <w:spacing w:after="0" w:line="240" w:lineRule="auto"/>
              <w:rPr>
                <w:rFonts w:asciiTheme="minorHAnsi" w:hAnsiTheme="minorHAnsi" w:cstheme="minorHAnsi"/>
                <w:b/>
                <w:bCs/>
              </w:rPr>
            </w:pPr>
            <w:r w:rsidRPr="00F13B38">
              <w:rPr>
                <w:rFonts w:asciiTheme="minorHAnsi" w:hAnsiTheme="minorHAnsi" w:cstheme="minorHAnsi"/>
                <w:b/>
                <w:bCs/>
              </w:rPr>
              <w:t xml:space="preserve">Assessment </w:t>
            </w:r>
            <w:r w:rsidR="001E30AC" w:rsidRPr="00F13B38">
              <w:rPr>
                <w:rFonts w:asciiTheme="minorHAnsi" w:hAnsiTheme="minorHAnsi" w:cstheme="minorHAnsi"/>
                <w:b/>
                <w:bCs/>
              </w:rPr>
              <w:t xml:space="preserve"> of Option </w:t>
            </w:r>
          </w:p>
        </w:tc>
        <w:tc>
          <w:tcPr>
            <w:tcW w:w="7938" w:type="dxa"/>
          </w:tcPr>
          <w:p w:rsidR="00C16EAA" w:rsidRPr="00F13B38" w:rsidRDefault="00C16EAA" w:rsidP="001E30AC">
            <w:pPr>
              <w:pStyle w:val="NoSpacing"/>
              <w:rPr>
                <w:b/>
              </w:rPr>
            </w:pPr>
            <w:r w:rsidRPr="00F13B38">
              <w:rPr>
                <w:b/>
              </w:rPr>
              <w:t xml:space="preserve">Delivery of </w:t>
            </w:r>
            <w:r w:rsidR="00A16E73" w:rsidRPr="00F13B38">
              <w:rPr>
                <w:b/>
              </w:rPr>
              <w:t xml:space="preserve">identified </w:t>
            </w:r>
            <w:r w:rsidRPr="00F13B38">
              <w:rPr>
                <w:b/>
              </w:rPr>
              <w:t>outcomes:</w:t>
            </w:r>
          </w:p>
          <w:p w:rsidR="00C16EAA" w:rsidRPr="00F13B38" w:rsidRDefault="00C16EAA" w:rsidP="001E30AC">
            <w:pPr>
              <w:pStyle w:val="NoSpacing"/>
              <w:rPr>
                <w:b/>
              </w:rPr>
            </w:pPr>
          </w:p>
          <w:p w:rsidR="001E30AC" w:rsidRPr="00F13B38" w:rsidRDefault="001E30AC" w:rsidP="001E30AC">
            <w:pPr>
              <w:pStyle w:val="NoSpacing"/>
              <w:rPr>
                <w:b/>
              </w:rPr>
            </w:pPr>
            <w:r w:rsidRPr="00F13B38">
              <w:rPr>
                <w:b/>
              </w:rPr>
              <w:t>Pros</w:t>
            </w:r>
          </w:p>
          <w:p w:rsidR="001E30AC" w:rsidRPr="00F13B38" w:rsidRDefault="001E30AC" w:rsidP="00C16EAA">
            <w:pPr>
              <w:pStyle w:val="NoSpacing"/>
              <w:numPr>
                <w:ilvl w:val="0"/>
                <w:numId w:val="17"/>
              </w:numPr>
            </w:pPr>
            <w:r w:rsidRPr="00F13B38">
              <w:t>None</w:t>
            </w:r>
          </w:p>
          <w:p w:rsidR="001E30AC" w:rsidRPr="00F13B38" w:rsidRDefault="001E30AC" w:rsidP="001E30AC">
            <w:pPr>
              <w:pStyle w:val="NoSpacing"/>
            </w:pPr>
          </w:p>
          <w:p w:rsidR="001E30AC" w:rsidRPr="00F13B38" w:rsidRDefault="001E30AC" w:rsidP="001E30AC">
            <w:pPr>
              <w:pStyle w:val="NoSpacing"/>
              <w:rPr>
                <w:b/>
              </w:rPr>
            </w:pPr>
            <w:r w:rsidRPr="00F13B38">
              <w:rPr>
                <w:b/>
              </w:rPr>
              <w:t>Cons</w:t>
            </w:r>
          </w:p>
          <w:p w:rsidR="00A16E73" w:rsidRPr="00F13B38" w:rsidRDefault="00A16E73" w:rsidP="00A16E73">
            <w:pPr>
              <w:pStyle w:val="NoSpacing"/>
              <w:numPr>
                <w:ilvl w:val="0"/>
                <w:numId w:val="17"/>
              </w:numPr>
            </w:pPr>
            <w:r w:rsidRPr="00F13B38">
              <w:t>This option does not take advantage of opportunities to deliver improved outcomes through partnership working or integration of health and social care.</w:t>
            </w:r>
          </w:p>
          <w:p w:rsidR="00C16EAA" w:rsidRPr="00F13B38" w:rsidRDefault="00C16EAA" w:rsidP="00C16EAA">
            <w:pPr>
              <w:pStyle w:val="NoSpacing"/>
              <w:numPr>
                <w:ilvl w:val="0"/>
                <w:numId w:val="17"/>
              </w:numPr>
            </w:pPr>
            <w:r w:rsidRPr="00F13B38">
              <w:t>This option does not deliver the financial savings detailed in the Council Business Plan and Budget 2016+.</w:t>
            </w:r>
          </w:p>
          <w:p w:rsidR="00C16EAA" w:rsidRPr="00F13B38" w:rsidRDefault="00C16EAA" w:rsidP="00C16EAA">
            <w:pPr>
              <w:pStyle w:val="NoSpacing"/>
              <w:numPr>
                <w:ilvl w:val="0"/>
                <w:numId w:val="17"/>
              </w:numPr>
            </w:pPr>
            <w:r w:rsidRPr="00F13B38">
              <w:t>This option does not contribute to the reduction in the Council’s overall workforce</w:t>
            </w:r>
          </w:p>
          <w:p w:rsidR="009C5828" w:rsidRPr="00F13B38" w:rsidRDefault="009C5828">
            <w:pPr>
              <w:rPr>
                <w:rFonts w:asciiTheme="minorHAnsi" w:hAnsiTheme="minorHAnsi" w:cstheme="minorHAnsi"/>
              </w:rPr>
            </w:pPr>
          </w:p>
        </w:tc>
      </w:tr>
      <w:tr w:rsidR="00AA568F" w:rsidRPr="00F13B38" w:rsidTr="001A168B">
        <w:tc>
          <w:tcPr>
            <w:tcW w:w="2518" w:type="dxa"/>
            <w:shd w:val="clear" w:color="auto" w:fill="DBE5F1" w:themeFill="accent1" w:themeFillTint="33"/>
          </w:tcPr>
          <w:p w:rsidR="001E30AC" w:rsidRPr="00F13B38" w:rsidRDefault="001E30AC" w:rsidP="008429E9">
            <w:pPr>
              <w:spacing w:after="0" w:line="240" w:lineRule="auto"/>
              <w:rPr>
                <w:rFonts w:asciiTheme="minorHAnsi" w:eastAsia="PMingLiU" w:hAnsiTheme="minorHAnsi" w:cstheme="minorHAnsi"/>
                <w:i/>
                <w:iCs/>
              </w:rPr>
            </w:pPr>
            <w:r w:rsidRPr="00F13B38">
              <w:rPr>
                <w:rFonts w:asciiTheme="minorHAnsi" w:hAnsiTheme="minorHAnsi" w:cstheme="minorHAnsi"/>
                <w:b/>
                <w:bCs/>
              </w:rPr>
              <w:t>Stakeholders engaged.</w:t>
            </w:r>
          </w:p>
        </w:tc>
        <w:tc>
          <w:tcPr>
            <w:tcW w:w="7938" w:type="dxa"/>
          </w:tcPr>
          <w:p w:rsidR="001E30AC" w:rsidRPr="00F13B38" w:rsidRDefault="001E30AC" w:rsidP="001E30AC">
            <w:r w:rsidRPr="00F13B38">
              <w:rPr>
                <w:bCs/>
              </w:rPr>
              <w:t>A range of internal stakeholders have been consulted.  Permission is sought to consult, to enable a wider range of external stakeholders to be consulted, including service users, staff and the provider market.</w:t>
            </w:r>
          </w:p>
        </w:tc>
      </w:tr>
      <w:tr w:rsidR="00AA568F" w:rsidRPr="00F13B38" w:rsidTr="001A168B">
        <w:tc>
          <w:tcPr>
            <w:tcW w:w="2518" w:type="dxa"/>
            <w:shd w:val="clear" w:color="auto" w:fill="DBE5F1" w:themeFill="accent1" w:themeFillTint="33"/>
          </w:tcPr>
          <w:p w:rsidR="001E30AC" w:rsidRPr="00F13B38" w:rsidRDefault="001E30AC" w:rsidP="008429E9">
            <w:pPr>
              <w:spacing w:after="0" w:line="240" w:lineRule="auto"/>
              <w:rPr>
                <w:rFonts w:asciiTheme="minorHAnsi" w:eastAsia="PMingLiU" w:hAnsiTheme="minorHAnsi" w:cstheme="minorHAnsi"/>
                <w:b/>
                <w:bCs/>
              </w:rPr>
            </w:pPr>
            <w:r w:rsidRPr="00F13B38">
              <w:rPr>
                <w:rFonts w:asciiTheme="minorHAnsi" w:eastAsia="PMingLiU" w:hAnsiTheme="minorHAnsi" w:cstheme="minorHAnsi"/>
                <w:b/>
                <w:bCs/>
              </w:rPr>
              <w:t xml:space="preserve">Recommendation </w:t>
            </w:r>
          </w:p>
        </w:tc>
        <w:tc>
          <w:tcPr>
            <w:tcW w:w="7938" w:type="dxa"/>
          </w:tcPr>
          <w:p w:rsidR="001E30AC" w:rsidRPr="00F13B38" w:rsidRDefault="00A16E73" w:rsidP="00EA75B3">
            <w:pPr>
              <w:pStyle w:val="NoSpacing"/>
            </w:pPr>
            <w:r w:rsidRPr="00F13B38">
              <w:t xml:space="preserve">Following initial analysis by the Council this Option is </w:t>
            </w:r>
            <w:r w:rsidRPr="00F13B38">
              <w:rPr>
                <w:u w:val="single"/>
              </w:rPr>
              <w:t>not</w:t>
            </w:r>
            <w:r w:rsidRPr="00F13B38">
              <w:rPr>
                <w:b/>
              </w:rPr>
              <w:t xml:space="preserve"> </w:t>
            </w:r>
            <w:r w:rsidRPr="00F13B38">
              <w:t>preferred for implementation but is subject to consultation.</w:t>
            </w:r>
          </w:p>
        </w:tc>
      </w:tr>
      <w:tr w:rsidR="00AA568F" w:rsidRPr="00F13B38" w:rsidTr="001A168B">
        <w:tc>
          <w:tcPr>
            <w:tcW w:w="2518" w:type="dxa"/>
            <w:shd w:val="clear" w:color="auto" w:fill="DBE5F1" w:themeFill="accent1" w:themeFillTint="33"/>
          </w:tcPr>
          <w:p w:rsidR="001E30AC" w:rsidRPr="00F13B38" w:rsidRDefault="001E30AC" w:rsidP="008429E9">
            <w:pPr>
              <w:spacing w:after="0" w:line="240" w:lineRule="auto"/>
              <w:rPr>
                <w:rFonts w:asciiTheme="minorHAnsi" w:eastAsia="PMingLiU" w:hAnsiTheme="minorHAnsi" w:cstheme="minorHAnsi"/>
                <w:b/>
                <w:bCs/>
              </w:rPr>
            </w:pPr>
            <w:r w:rsidRPr="00F13B38">
              <w:rPr>
                <w:rFonts w:asciiTheme="minorHAnsi" w:eastAsia="PMingLiU" w:hAnsiTheme="minorHAnsi" w:cstheme="minorHAnsi"/>
                <w:b/>
                <w:bCs/>
              </w:rPr>
              <w:t xml:space="preserve">Principal Reason for Decision </w:t>
            </w:r>
          </w:p>
        </w:tc>
        <w:tc>
          <w:tcPr>
            <w:tcW w:w="7938" w:type="dxa"/>
          </w:tcPr>
          <w:p w:rsidR="006645F1" w:rsidRPr="00F13B38" w:rsidRDefault="00A16E73" w:rsidP="009C5828">
            <w:pPr>
              <w:pStyle w:val="NoSpacing"/>
            </w:pPr>
            <w:r w:rsidRPr="00F13B38">
              <w:t>The option does not deliver significantly against the identified outcomes.</w:t>
            </w:r>
          </w:p>
        </w:tc>
      </w:tr>
    </w:tbl>
    <w:p w:rsidR="0047673F" w:rsidRPr="00F13B38" w:rsidRDefault="0047673F" w:rsidP="00863E78">
      <w:pPr>
        <w:pStyle w:val="ResiteBPPNormal"/>
        <w:rPr>
          <w:rFonts w:asciiTheme="minorHAnsi" w:hAnsiTheme="minorHAnsi" w:cstheme="minorHAnsi"/>
          <w:sz w:val="22"/>
          <w:szCs w:val="22"/>
        </w:rPr>
      </w:pPr>
    </w:p>
    <w:p w:rsidR="0047673F" w:rsidRPr="00F13B38" w:rsidRDefault="0047673F">
      <w:pPr>
        <w:spacing w:after="0" w:line="240" w:lineRule="auto"/>
        <w:rPr>
          <w:rFonts w:asciiTheme="minorHAnsi" w:eastAsia="Times New Roman" w:hAnsiTheme="minorHAnsi" w:cstheme="minorHAnsi"/>
          <w:lang w:val="en-US"/>
        </w:rPr>
      </w:pPr>
      <w:r w:rsidRPr="00F13B38">
        <w:rPr>
          <w:rFonts w:asciiTheme="minorHAnsi" w:hAnsiTheme="minorHAnsi" w:cstheme="minorHAnsi"/>
        </w:rPr>
        <w:br w:type="page"/>
      </w:r>
    </w:p>
    <w:p w:rsidR="00863E78" w:rsidRPr="00F13B38" w:rsidRDefault="00863E78" w:rsidP="00863E78">
      <w:pPr>
        <w:pStyle w:val="ResiteBPPNormal"/>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848"/>
      </w:tblGrid>
      <w:tr w:rsidR="00AA568F" w:rsidRPr="00F13B38" w:rsidTr="001A168B">
        <w:tc>
          <w:tcPr>
            <w:tcW w:w="2518" w:type="dxa"/>
            <w:shd w:val="clear" w:color="auto" w:fill="DBE5F1" w:themeFill="accent1" w:themeFillTint="33"/>
          </w:tcPr>
          <w:p w:rsidR="00863E78" w:rsidRPr="00F13B38" w:rsidRDefault="00863E78" w:rsidP="00716635">
            <w:pPr>
              <w:spacing w:line="240" w:lineRule="auto"/>
              <w:rPr>
                <w:rFonts w:asciiTheme="minorHAnsi" w:hAnsiTheme="minorHAnsi" w:cstheme="minorHAnsi"/>
                <w:b/>
                <w:bCs/>
              </w:rPr>
            </w:pPr>
            <w:r w:rsidRPr="00F13B38">
              <w:rPr>
                <w:rFonts w:asciiTheme="minorHAnsi" w:hAnsiTheme="minorHAnsi" w:cstheme="minorHAnsi"/>
                <w:b/>
                <w:bCs/>
              </w:rPr>
              <w:t>Option</w:t>
            </w:r>
            <w:r w:rsidR="007A43F1" w:rsidRPr="00F13B38">
              <w:rPr>
                <w:rFonts w:asciiTheme="minorHAnsi" w:hAnsiTheme="minorHAnsi" w:cstheme="minorHAnsi"/>
                <w:b/>
                <w:bCs/>
              </w:rPr>
              <w:t xml:space="preserve"> 2</w:t>
            </w:r>
          </w:p>
        </w:tc>
        <w:tc>
          <w:tcPr>
            <w:tcW w:w="7848" w:type="dxa"/>
          </w:tcPr>
          <w:p w:rsidR="00863E78" w:rsidRPr="00F13B38" w:rsidRDefault="009C5828" w:rsidP="00A16E73">
            <w:pPr>
              <w:widowControl w:val="0"/>
              <w:spacing w:after="120" w:line="240" w:lineRule="auto"/>
              <w:rPr>
                <w:rFonts w:asciiTheme="minorHAnsi" w:eastAsia="PMingLiU" w:hAnsiTheme="minorHAnsi" w:cstheme="minorHAnsi"/>
                <w:b/>
              </w:rPr>
            </w:pPr>
            <w:r w:rsidRPr="00F13B38">
              <w:rPr>
                <w:rFonts w:asciiTheme="minorHAnsi" w:eastAsia="PMingLiU" w:hAnsiTheme="minorHAnsi" w:cstheme="minorHAnsi"/>
                <w:b/>
              </w:rPr>
              <w:t>Stop delivering residential care in Norman Power</w:t>
            </w:r>
            <w:r w:rsidR="00A16E73" w:rsidRPr="00F13B38">
              <w:rPr>
                <w:rFonts w:asciiTheme="minorHAnsi" w:eastAsia="PMingLiU" w:hAnsiTheme="minorHAnsi" w:cstheme="minorHAnsi"/>
                <w:b/>
              </w:rPr>
              <w:t xml:space="preserve"> </w:t>
            </w:r>
            <w:r w:rsidRPr="00F13B38">
              <w:rPr>
                <w:rFonts w:asciiTheme="minorHAnsi" w:eastAsia="PMingLiU" w:hAnsiTheme="minorHAnsi" w:cstheme="minorHAnsi"/>
                <w:b/>
              </w:rPr>
              <w:t>and Perry Tree Centres and c</w:t>
            </w:r>
            <w:r w:rsidR="006645F1" w:rsidRPr="00F13B38">
              <w:rPr>
                <w:rFonts w:asciiTheme="minorHAnsi" w:eastAsia="PMingLiU" w:hAnsiTheme="minorHAnsi" w:cstheme="minorHAnsi"/>
                <w:b/>
              </w:rPr>
              <w:t xml:space="preserve">hange the use of the </w:t>
            </w:r>
            <w:r w:rsidRPr="00F13B38">
              <w:rPr>
                <w:rFonts w:asciiTheme="minorHAnsi" w:eastAsia="PMingLiU" w:hAnsiTheme="minorHAnsi" w:cstheme="minorHAnsi"/>
                <w:b/>
              </w:rPr>
              <w:t>beds</w:t>
            </w:r>
            <w:r w:rsidR="006645F1" w:rsidRPr="00F13B38">
              <w:rPr>
                <w:rFonts w:asciiTheme="minorHAnsi" w:eastAsia="PMingLiU" w:hAnsiTheme="minorHAnsi" w:cstheme="minorHAnsi"/>
                <w:b/>
              </w:rPr>
              <w:t xml:space="preserve"> to deliver step-up / step-down recovery beds </w:t>
            </w:r>
            <w:r w:rsidR="00BC345B" w:rsidRPr="00F13B38">
              <w:rPr>
                <w:rFonts w:asciiTheme="minorHAnsi" w:eastAsia="PMingLiU" w:hAnsiTheme="minorHAnsi" w:cstheme="minorHAnsi"/>
                <w:b/>
              </w:rPr>
              <w:t>to be delivered by</w:t>
            </w:r>
            <w:r w:rsidR="006645F1" w:rsidRPr="00F13B38">
              <w:rPr>
                <w:rFonts w:asciiTheme="minorHAnsi" w:eastAsia="PMingLiU" w:hAnsiTheme="minorHAnsi" w:cstheme="minorHAnsi"/>
                <w:b/>
              </w:rPr>
              <w:t xml:space="preserve"> organisation</w:t>
            </w:r>
            <w:r w:rsidR="00BC345B" w:rsidRPr="00F13B38">
              <w:rPr>
                <w:rFonts w:asciiTheme="minorHAnsi" w:eastAsia="PMingLiU" w:hAnsiTheme="minorHAnsi" w:cstheme="minorHAnsi"/>
                <w:b/>
              </w:rPr>
              <w:t>s external to the Council.</w:t>
            </w:r>
          </w:p>
        </w:tc>
      </w:tr>
      <w:tr w:rsidR="00AA568F" w:rsidRPr="00F13B38" w:rsidTr="00BF6DCB">
        <w:trPr>
          <w:trHeight w:val="2400"/>
        </w:trPr>
        <w:tc>
          <w:tcPr>
            <w:tcW w:w="2518" w:type="dxa"/>
            <w:shd w:val="clear" w:color="auto" w:fill="DBE5F1" w:themeFill="accent1" w:themeFillTint="33"/>
          </w:tcPr>
          <w:p w:rsidR="00863E78" w:rsidRPr="00F13B38" w:rsidRDefault="00863E78" w:rsidP="00716635">
            <w:pPr>
              <w:spacing w:line="240" w:lineRule="auto"/>
              <w:rPr>
                <w:rFonts w:asciiTheme="minorHAnsi" w:hAnsiTheme="minorHAnsi" w:cstheme="minorHAnsi"/>
                <w:b/>
                <w:bCs/>
              </w:rPr>
            </w:pPr>
            <w:r w:rsidRPr="00F13B38">
              <w:rPr>
                <w:rFonts w:asciiTheme="minorHAnsi" w:hAnsiTheme="minorHAnsi" w:cstheme="minorHAnsi"/>
                <w:b/>
                <w:bCs/>
              </w:rPr>
              <w:t xml:space="preserve">Information Considered </w:t>
            </w:r>
          </w:p>
        </w:tc>
        <w:tc>
          <w:tcPr>
            <w:tcW w:w="7848" w:type="dxa"/>
          </w:tcPr>
          <w:p w:rsidR="006645F1" w:rsidRDefault="006645F1" w:rsidP="00F2494E">
            <w:pPr>
              <w:pStyle w:val="NoSpacing"/>
              <w:rPr>
                <w:rFonts w:asciiTheme="minorHAnsi" w:hAnsiTheme="minorHAnsi" w:cstheme="minorHAnsi"/>
              </w:rPr>
            </w:pPr>
            <w:r w:rsidRPr="00F13B38">
              <w:rPr>
                <w:rFonts w:asciiTheme="minorHAnsi" w:hAnsiTheme="minorHAnsi" w:cstheme="minorHAnsi"/>
              </w:rPr>
              <w:t xml:space="preserve">Under this option the Council would stop delivering residential care at </w:t>
            </w:r>
            <w:r w:rsidR="009C5828" w:rsidRPr="00F13B38">
              <w:rPr>
                <w:rFonts w:asciiTheme="minorHAnsi" w:hAnsiTheme="minorHAnsi" w:cstheme="minorHAnsi"/>
              </w:rPr>
              <w:t>Norman Power and Perry Tree</w:t>
            </w:r>
            <w:r w:rsidRPr="00F13B38">
              <w:rPr>
                <w:rFonts w:asciiTheme="minorHAnsi" w:hAnsiTheme="minorHAnsi" w:cstheme="minorHAnsi"/>
              </w:rPr>
              <w:t xml:space="preserve"> Care Centres. </w:t>
            </w:r>
            <w:r w:rsidR="00F359D5" w:rsidRPr="00F13B38">
              <w:rPr>
                <w:rFonts w:asciiTheme="minorHAnsi" w:hAnsiTheme="minorHAnsi" w:cstheme="minorHAnsi"/>
              </w:rPr>
              <w:t xml:space="preserve">The Council would lease the Care Centres to alternative providers. </w:t>
            </w:r>
            <w:r w:rsidRPr="00F13B38">
              <w:rPr>
                <w:rFonts w:asciiTheme="minorHAnsi" w:hAnsiTheme="minorHAnsi" w:cstheme="minorHAnsi"/>
              </w:rPr>
              <w:t xml:space="preserve">People who are </w:t>
            </w:r>
            <w:r w:rsidR="003D53BA" w:rsidRPr="00F13B38">
              <w:rPr>
                <w:rFonts w:asciiTheme="minorHAnsi" w:hAnsiTheme="minorHAnsi" w:cstheme="minorHAnsi"/>
              </w:rPr>
              <w:t xml:space="preserve">currently </w:t>
            </w:r>
            <w:r w:rsidRPr="00F13B38">
              <w:rPr>
                <w:rFonts w:asciiTheme="minorHAnsi" w:hAnsiTheme="minorHAnsi" w:cstheme="minorHAnsi"/>
              </w:rPr>
              <w:t>resident would be given a reas</w:t>
            </w:r>
            <w:r w:rsidR="009C5828" w:rsidRPr="00F13B38">
              <w:rPr>
                <w:rFonts w:asciiTheme="minorHAnsi" w:hAnsiTheme="minorHAnsi" w:cstheme="minorHAnsi"/>
              </w:rPr>
              <w:t xml:space="preserve">sessment of their </w:t>
            </w:r>
            <w:r w:rsidR="00A16E73" w:rsidRPr="00F13B38">
              <w:rPr>
                <w:rFonts w:asciiTheme="minorHAnsi" w:hAnsiTheme="minorHAnsi" w:cstheme="minorHAnsi"/>
              </w:rPr>
              <w:t xml:space="preserve">eligible </w:t>
            </w:r>
            <w:r w:rsidR="009C5828" w:rsidRPr="00F13B38">
              <w:rPr>
                <w:rFonts w:asciiTheme="minorHAnsi" w:hAnsiTheme="minorHAnsi" w:cstheme="minorHAnsi"/>
              </w:rPr>
              <w:t>care</w:t>
            </w:r>
            <w:r w:rsidR="00A16E73" w:rsidRPr="00F13B38">
              <w:rPr>
                <w:rFonts w:asciiTheme="minorHAnsi" w:hAnsiTheme="minorHAnsi" w:cstheme="minorHAnsi"/>
              </w:rPr>
              <w:t xml:space="preserve"> and support </w:t>
            </w:r>
            <w:r w:rsidR="009C5828" w:rsidRPr="00F13B38">
              <w:rPr>
                <w:rFonts w:asciiTheme="minorHAnsi" w:hAnsiTheme="minorHAnsi" w:cstheme="minorHAnsi"/>
              </w:rPr>
              <w:t>needs,</w:t>
            </w:r>
            <w:r w:rsidRPr="00F13B38">
              <w:rPr>
                <w:rFonts w:asciiTheme="minorHAnsi" w:hAnsiTheme="minorHAnsi" w:cstheme="minorHAnsi"/>
              </w:rPr>
              <w:t xml:space="preserve"> </w:t>
            </w:r>
            <w:r w:rsidR="00B763FB" w:rsidRPr="00F13B38">
              <w:rPr>
                <w:rFonts w:asciiTheme="minorHAnsi" w:hAnsiTheme="minorHAnsi" w:cstheme="minorHAnsi"/>
              </w:rPr>
              <w:t xml:space="preserve">assistance </w:t>
            </w:r>
            <w:r w:rsidR="00974E13" w:rsidRPr="00F13B38">
              <w:rPr>
                <w:rFonts w:asciiTheme="minorHAnsi" w:hAnsiTheme="minorHAnsi" w:cstheme="minorHAnsi"/>
              </w:rPr>
              <w:t>in planning</w:t>
            </w:r>
            <w:r w:rsidRPr="00F13B38">
              <w:rPr>
                <w:rFonts w:asciiTheme="minorHAnsi" w:hAnsiTheme="minorHAnsi" w:cstheme="minorHAnsi"/>
              </w:rPr>
              <w:t xml:space="preserve"> their future care and support, and to find alternative accommodation.</w:t>
            </w:r>
            <w:r w:rsidR="00A90CB0" w:rsidRPr="00F13B38">
              <w:rPr>
                <w:rFonts w:asciiTheme="minorHAnsi" w:hAnsiTheme="minorHAnsi" w:cstheme="minorHAnsi"/>
              </w:rPr>
              <w:t xml:space="preserve"> People would be offered alternative accommodation in other residential homes </w:t>
            </w:r>
            <w:r w:rsidR="003076E3" w:rsidRPr="00F13B38">
              <w:rPr>
                <w:rFonts w:asciiTheme="minorHAnsi" w:hAnsiTheme="minorHAnsi" w:cstheme="minorHAnsi"/>
              </w:rPr>
              <w:t>in the City.</w:t>
            </w:r>
          </w:p>
          <w:p w:rsidR="002D7FEE" w:rsidRDefault="002D7FEE" w:rsidP="00F2494E">
            <w:pPr>
              <w:pStyle w:val="NoSpacing"/>
              <w:rPr>
                <w:rFonts w:asciiTheme="minorHAnsi" w:hAnsiTheme="minorHAnsi" w:cstheme="minorHAnsi"/>
              </w:rPr>
            </w:pPr>
          </w:p>
          <w:p w:rsidR="002D7FEE" w:rsidRPr="00F13B38" w:rsidRDefault="002D7FEE" w:rsidP="00F2494E">
            <w:pPr>
              <w:pStyle w:val="NoSpacing"/>
              <w:rPr>
                <w:rFonts w:asciiTheme="minorHAnsi" w:hAnsiTheme="minorHAnsi" w:cstheme="minorHAnsi"/>
              </w:rPr>
            </w:pPr>
            <w:r>
              <w:rPr>
                <w:rFonts w:asciiTheme="minorHAnsi" w:hAnsiTheme="minorHAnsi" w:cstheme="minorHAnsi"/>
              </w:rPr>
              <w:t xml:space="preserve">Under this option the ownership of the Care Centre buildings would </w:t>
            </w:r>
            <w:r w:rsidR="000B36A1">
              <w:rPr>
                <w:rFonts w:asciiTheme="minorHAnsi" w:hAnsiTheme="minorHAnsi" w:cstheme="minorHAnsi"/>
              </w:rPr>
              <w:t xml:space="preserve">be retained by the Council and </w:t>
            </w:r>
            <w:r>
              <w:rPr>
                <w:rFonts w:asciiTheme="minorHAnsi" w:hAnsiTheme="minorHAnsi" w:cstheme="minorHAnsi"/>
              </w:rPr>
              <w:t>the buildings leased to alternative providers external to the Council.</w:t>
            </w:r>
          </w:p>
          <w:p w:rsidR="00BC345B" w:rsidRPr="00F13B38" w:rsidRDefault="00BC345B" w:rsidP="00F2494E">
            <w:pPr>
              <w:pStyle w:val="NoSpacing"/>
              <w:rPr>
                <w:rFonts w:asciiTheme="minorHAnsi" w:hAnsiTheme="minorHAnsi" w:cstheme="minorHAnsi"/>
              </w:rPr>
            </w:pPr>
          </w:p>
          <w:p w:rsidR="00BC345B" w:rsidRPr="00F13B38" w:rsidRDefault="00BC345B" w:rsidP="00F2494E">
            <w:pPr>
              <w:pStyle w:val="NoSpacing"/>
              <w:rPr>
                <w:rFonts w:asciiTheme="minorHAnsi" w:hAnsiTheme="minorHAnsi" w:cstheme="minorHAnsi"/>
              </w:rPr>
            </w:pPr>
            <w:r w:rsidRPr="00F13B38">
              <w:rPr>
                <w:rFonts w:asciiTheme="minorHAnsi" w:hAnsiTheme="minorHAnsi" w:cstheme="minorHAnsi"/>
              </w:rPr>
              <w:t>The NHS and Council, using pooled resources</w:t>
            </w:r>
            <w:r w:rsidR="002D7FEE">
              <w:rPr>
                <w:rFonts w:asciiTheme="minorHAnsi" w:hAnsiTheme="minorHAnsi" w:cstheme="minorHAnsi"/>
              </w:rPr>
              <w:t xml:space="preserve"> and a joint commissioning approach through the Better Care Programme and Sustainability Transformation Plan</w:t>
            </w:r>
            <w:r w:rsidRPr="00F13B38">
              <w:rPr>
                <w:rFonts w:asciiTheme="minorHAnsi" w:hAnsiTheme="minorHAnsi" w:cstheme="minorHAnsi"/>
              </w:rPr>
              <w:t xml:space="preserve">, </w:t>
            </w:r>
            <w:r w:rsidR="00A16E73" w:rsidRPr="00F13B38">
              <w:rPr>
                <w:rFonts w:asciiTheme="minorHAnsi" w:hAnsiTheme="minorHAnsi" w:cstheme="minorHAnsi"/>
              </w:rPr>
              <w:t xml:space="preserve"> </w:t>
            </w:r>
            <w:r w:rsidR="002D7FEE">
              <w:rPr>
                <w:rFonts w:asciiTheme="minorHAnsi" w:hAnsiTheme="minorHAnsi" w:cstheme="minorHAnsi"/>
              </w:rPr>
              <w:t>w</w:t>
            </w:r>
            <w:r w:rsidR="00A16E73" w:rsidRPr="00F13B38">
              <w:rPr>
                <w:rFonts w:asciiTheme="minorHAnsi" w:hAnsiTheme="minorHAnsi" w:cstheme="minorHAnsi"/>
              </w:rPr>
              <w:t xml:space="preserve">ould </w:t>
            </w:r>
            <w:r w:rsidRPr="00F13B38">
              <w:rPr>
                <w:rFonts w:asciiTheme="minorHAnsi" w:hAnsiTheme="minorHAnsi" w:cstheme="minorHAnsi"/>
              </w:rPr>
              <w:t xml:space="preserve"> commission organisations to deliver step-up / step-down recovery beds as part of </w:t>
            </w:r>
            <w:r w:rsidR="00EA75B3" w:rsidRPr="00F13B38">
              <w:rPr>
                <w:rFonts w:asciiTheme="minorHAnsi" w:hAnsiTheme="minorHAnsi" w:cstheme="minorHAnsi"/>
              </w:rPr>
              <w:t xml:space="preserve">the development of </w:t>
            </w:r>
            <w:r w:rsidRPr="00F13B38">
              <w:rPr>
                <w:rFonts w:asciiTheme="minorHAnsi" w:hAnsiTheme="minorHAnsi" w:cstheme="minorHAnsi"/>
              </w:rPr>
              <w:t>a wider community based ‘Recovery team’ model</w:t>
            </w:r>
            <w:r w:rsidR="00A16E73" w:rsidRPr="00F13B38">
              <w:rPr>
                <w:rFonts w:asciiTheme="minorHAnsi" w:hAnsiTheme="minorHAnsi" w:cstheme="minorHAnsi"/>
              </w:rPr>
              <w:t>.  This model would be</w:t>
            </w:r>
            <w:r w:rsidRPr="00F13B38">
              <w:rPr>
                <w:rFonts w:asciiTheme="minorHAnsi" w:hAnsiTheme="minorHAnsi" w:cstheme="minorHAnsi"/>
              </w:rPr>
              <w:t xml:space="preserve"> designed to reduce the number of older people being admitted to hospital and to speed up the discharge of those who do </w:t>
            </w:r>
            <w:r w:rsidR="00A16E73" w:rsidRPr="00F13B38">
              <w:rPr>
                <w:rFonts w:asciiTheme="minorHAnsi" w:hAnsiTheme="minorHAnsi" w:cstheme="minorHAnsi"/>
              </w:rPr>
              <w:t xml:space="preserve">get </w:t>
            </w:r>
            <w:r w:rsidRPr="00F13B38">
              <w:rPr>
                <w:rFonts w:asciiTheme="minorHAnsi" w:hAnsiTheme="minorHAnsi" w:cstheme="minorHAnsi"/>
              </w:rPr>
              <w:t xml:space="preserve">admitted. The model proposes to </w:t>
            </w:r>
            <w:r w:rsidR="009C5828" w:rsidRPr="00F13B38">
              <w:rPr>
                <w:rFonts w:asciiTheme="minorHAnsi" w:hAnsiTheme="minorHAnsi" w:cstheme="minorHAnsi"/>
              </w:rPr>
              <w:t xml:space="preserve">commission </w:t>
            </w:r>
            <w:r w:rsidR="008B29B6" w:rsidRPr="00F13B38">
              <w:rPr>
                <w:rFonts w:asciiTheme="minorHAnsi" w:hAnsiTheme="minorHAnsi" w:cstheme="minorHAnsi"/>
              </w:rPr>
              <w:t>these step</w:t>
            </w:r>
            <w:r w:rsidRPr="00F13B38">
              <w:rPr>
                <w:rFonts w:asciiTheme="minorHAnsi" w:hAnsiTheme="minorHAnsi" w:cstheme="minorHAnsi"/>
              </w:rPr>
              <w:t>-up / step-down bed</w:t>
            </w:r>
            <w:r w:rsidR="00A16E73" w:rsidRPr="00F13B38">
              <w:rPr>
                <w:rFonts w:asciiTheme="minorHAnsi" w:hAnsiTheme="minorHAnsi" w:cstheme="minorHAnsi"/>
              </w:rPr>
              <w:t>s</w:t>
            </w:r>
            <w:r w:rsidRPr="00F13B38">
              <w:rPr>
                <w:rFonts w:asciiTheme="minorHAnsi" w:hAnsiTheme="minorHAnsi" w:cstheme="minorHAnsi"/>
              </w:rPr>
              <w:t xml:space="preserve"> </w:t>
            </w:r>
            <w:r w:rsidR="006E0185" w:rsidRPr="00F13B38">
              <w:rPr>
                <w:rFonts w:asciiTheme="minorHAnsi" w:hAnsiTheme="minorHAnsi" w:cstheme="minorHAnsi"/>
              </w:rPr>
              <w:t>in</w:t>
            </w:r>
            <w:r w:rsidR="009C5828" w:rsidRPr="00F13B38">
              <w:rPr>
                <w:rFonts w:asciiTheme="minorHAnsi" w:hAnsiTheme="minorHAnsi" w:cstheme="minorHAnsi"/>
              </w:rPr>
              <w:t xml:space="preserve"> a </w:t>
            </w:r>
            <w:r w:rsidR="006E0185" w:rsidRPr="00F13B38">
              <w:rPr>
                <w:rFonts w:asciiTheme="minorHAnsi" w:hAnsiTheme="minorHAnsi" w:cstheme="minorHAnsi"/>
              </w:rPr>
              <w:t xml:space="preserve">small </w:t>
            </w:r>
            <w:r w:rsidR="009C5828" w:rsidRPr="00F13B38">
              <w:rPr>
                <w:rFonts w:asciiTheme="minorHAnsi" w:hAnsiTheme="minorHAnsi" w:cstheme="minorHAnsi"/>
              </w:rPr>
              <w:t xml:space="preserve">number of </w:t>
            </w:r>
            <w:r w:rsidR="006E0185" w:rsidRPr="00F13B38">
              <w:rPr>
                <w:rFonts w:asciiTheme="minorHAnsi" w:hAnsiTheme="minorHAnsi" w:cstheme="minorHAnsi"/>
              </w:rPr>
              <w:t xml:space="preserve">hubs at different locations in the City </w:t>
            </w:r>
            <w:r w:rsidRPr="00F13B38">
              <w:rPr>
                <w:rFonts w:asciiTheme="minorHAnsi" w:hAnsiTheme="minorHAnsi" w:cstheme="minorHAnsi"/>
              </w:rPr>
              <w:t xml:space="preserve">and to decommission a number of existing step-up / step-down beds currently purchased </w:t>
            </w:r>
            <w:r w:rsidR="00F87B5B">
              <w:rPr>
                <w:rFonts w:asciiTheme="minorHAnsi" w:hAnsiTheme="minorHAnsi" w:cstheme="minorHAnsi"/>
              </w:rPr>
              <w:t xml:space="preserve">by Birmingham City Council and also </w:t>
            </w:r>
            <w:r w:rsidR="00974E13">
              <w:rPr>
                <w:rFonts w:asciiTheme="minorHAnsi" w:hAnsiTheme="minorHAnsi" w:cstheme="minorHAnsi"/>
              </w:rPr>
              <w:t>from a</w:t>
            </w:r>
            <w:r w:rsidR="00F87B5B">
              <w:rPr>
                <w:rFonts w:asciiTheme="minorHAnsi" w:hAnsiTheme="minorHAnsi" w:cstheme="minorHAnsi"/>
              </w:rPr>
              <w:t xml:space="preserve"> number of NHS Clinical Commissioning Groups </w:t>
            </w:r>
            <w:r w:rsidRPr="00F13B38">
              <w:rPr>
                <w:rFonts w:asciiTheme="minorHAnsi" w:hAnsiTheme="minorHAnsi" w:cstheme="minorHAnsi"/>
              </w:rPr>
              <w:t xml:space="preserve">from </w:t>
            </w:r>
            <w:r w:rsidR="00CC2E42">
              <w:rPr>
                <w:rFonts w:asciiTheme="minorHAnsi" w:hAnsiTheme="minorHAnsi" w:cstheme="minorHAnsi"/>
              </w:rPr>
              <w:t>independent</w:t>
            </w:r>
            <w:r w:rsidR="00CC2E42" w:rsidRPr="00F13B38">
              <w:rPr>
                <w:rFonts w:asciiTheme="minorHAnsi" w:hAnsiTheme="minorHAnsi" w:cstheme="minorHAnsi"/>
              </w:rPr>
              <w:t xml:space="preserve"> </w:t>
            </w:r>
            <w:r w:rsidRPr="00F13B38">
              <w:rPr>
                <w:rFonts w:asciiTheme="minorHAnsi" w:hAnsiTheme="minorHAnsi" w:cstheme="minorHAnsi"/>
              </w:rPr>
              <w:t xml:space="preserve">residential and nursing care homes in the </w:t>
            </w:r>
            <w:r w:rsidR="00A16E73" w:rsidRPr="00F13B38">
              <w:rPr>
                <w:rFonts w:asciiTheme="minorHAnsi" w:hAnsiTheme="minorHAnsi" w:cstheme="minorHAnsi"/>
              </w:rPr>
              <w:t>C</w:t>
            </w:r>
            <w:r w:rsidRPr="00F13B38">
              <w:rPr>
                <w:rFonts w:asciiTheme="minorHAnsi" w:hAnsiTheme="minorHAnsi" w:cstheme="minorHAnsi"/>
              </w:rPr>
              <w:t>ity.</w:t>
            </w:r>
            <w:r w:rsidR="006E0185" w:rsidRPr="00F13B38">
              <w:rPr>
                <w:rFonts w:asciiTheme="minorHAnsi" w:hAnsiTheme="minorHAnsi" w:cstheme="minorHAnsi"/>
              </w:rPr>
              <w:t xml:space="preserve"> </w:t>
            </w:r>
          </w:p>
          <w:p w:rsidR="004331A0" w:rsidRPr="00F13B38" w:rsidRDefault="004331A0" w:rsidP="00F2494E">
            <w:pPr>
              <w:pStyle w:val="NoSpacing"/>
              <w:rPr>
                <w:rFonts w:asciiTheme="minorHAnsi" w:hAnsiTheme="minorHAnsi" w:cstheme="minorHAnsi"/>
              </w:rPr>
            </w:pPr>
          </w:p>
          <w:p w:rsidR="004331A0" w:rsidRPr="00F13B38" w:rsidRDefault="004331A0" w:rsidP="00F2494E">
            <w:pPr>
              <w:pStyle w:val="NoSpacing"/>
              <w:rPr>
                <w:rFonts w:asciiTheme="minorHAnsi" w:hAnsiTheme="minorHAnsi" w:cstheme="minorHAnsi"/>
              </w:rPr>
            </w:pPr>
            <w:r w:rsidRPr="00F13B38">
              <w:rPr>
                <w:rFonts w:asciiTheme="minorHAnsi" w:hAnsiTheme="minorHAnsi" w:cstheme="minorHAnsi"/>
              </w:rPr>
              <w:t xml:space="preserve">Under this </w:t>
            </w:r>
            <w:r w:rsidR="006E0185" w:rsidRPr="00F13B38">
              <w:rPr>
                <w:rFonts w:asciiTheme="minorHAnsi" w:hAnsiTheme="minorHAnsi" w:cstheme="minorHAnsi"/>
              </w:rPr>
              <w:t xml:space="preserve">proposal Norman Power and Perry Tree </w:t>
            </w:r>
            <w:r w:rsidR="00A16E73" w:rsidRPr="00F13B38">
              <w:rPr>
                <w:rFonts w:asciiTheme="minorHAnsi" w:hAnsiTheme="minorHAnsi" w:cstheme="minorHAnsi"/>
              </w:rPr>
              <w:t xml:space="preserve">Care </w:t>
            </w:r>
            <w:r w:rsidR="006E0185" w:rsidRPr="00F13B38">
              <w:rPr>
                <w:rFonts w:asciiTheme="minorHAnsi" w:hAnsiTheme="minorHAnsi" w:cstheme="minorHAnsi"/>
              </w:rPr>
              <w:t xml:space="preserve">Centres </w:t>
            </w:r>
            <w:r w:rsidR="000B36A1">
              <w:rPr>
                <w:rFonts w:asciiTheme="minorHAnsi" w:hAnsiTheme="minorHAnsi" w:cstheme="minorHAnsi"/>
              </w:rPr>
              <w:t>w</w:t>
            </w:r>
            <w:r w:rsidR="00A16E73" w:rsidRPr="00F13B38">
              <w:rPr>
                <w:rFonts w:asciiTheme="minorHAnsi" w:hAnsiTheme="minorHAnsi" w:cstheme="minorHAnsi"/>
              </w:rPr>
              <w:t xml:space="preserve">ould </w:t>
            </w:r>
            <w:r w:rsidR="006E0185" w:rsidRPr="00F13B38">
              <w:rPr>
                <w:rFonts w:asciiTheme="minorHAnsi" w:hAnsiTheme="minorHAnsi" w:cstheme="minorHAnsi"/>
              </w:rPr>
              <w:t xml:space="preserve">become the first two </w:t>
            </w:r>
            <w:proofErr w:type="gramStart"/>
            <w:r w:rsidR="006E0185" w:rsidRPr="00F13B38">
              <w:rPr>
                <w:rFonts w:asciiTheme="minorHAnsi" w:hAnsiTheme="minorHAnsi" w:cstheme="minorHAnsi"/>
              </w:rPr>
              <w:t>step</w:t>
            </w:r>
            <w:proofErr w:type="gramEnd"/>
            <w:r w:rsidR="006E0185" w:rsidRPr="00F13B38">
              <w:rPr>
                <w:rFonts w:asciiTheme="minorHAnsi" w:hAnsiTheme="minorHAnsi" w:cstheme="minorHAnsi"/>
              </w:rPr>
              <w:t xml:space="preserve"> up / step down </w:t>
            </w:r>
            <w:r w:rsidR="00A16E73" w:rsidRPr="00F13B38">
              <w:rPr>
                <w:rFonts w:asciiTheme="minorHAnsi" w:hAnsiTheme="minorHAnsi" w:cstheme="minorHAnsi"/>
              </w:rPr>
              <w:t>hubs</w:t>
            </w:r>
            <w:r w:rsidR="006E0185" w:rsidRPr="00F13B38">
              <w:rPr>
                <w:rFonts w:asciiTheme="minorHAnsi" w:hAnsiTheme="minorHAnsi" w:cstheme="minorHAnsi"/>
              </w:rPr>
              <w:t xml:space="preserve"> and </w:t>
            </w:r>
            <w:r w:rsidRPr="00F13B38">
              <w:rPr>
                <w:rFonts w:asciiTheme="minorHAnsi" w:hAnsiTheme="minorHAnsi" w:cstheme="minorHAnsi"/>
              </w:rPr>
              <w:t xml:space="preserve">would also become the </w:t>
            </w:r>
            <w:r w:rsidR="00A16E73" w:rsidRPr="00F13B38">
              <w:rPr>
                <w:rFonts w:asciiTheme="minorHAnsi" w:hAnsiTheme="minorHAnsi" w:cstheme="minorHAnsi"/>
              </w:rPr>
              <w:t xml:space="preserve">base </w:t>
            </w:r>
            <w:r w:rsidRPr="00F13B38">
              <w:rPr>
                <w:rFonts w:asciiTheme="minorHAnsi" w:hAnsiTheme="minorHAnsi" w:cstheme="minorHAnsi"/>
              </w:rPr>
              <w:t>of the multi-disciplinary community recovery teams whose key aim is to support people to live as independently as possible in their own homes.</w:t>
            </w:r>
          </w:p>
          <w:p w:rsidR="00BC083C" w:rsidRPr="00F13B38" w:rsidRDefault="00BC083C" w:rsidP="00F2494E">
            <w:pPr>
              <w:pStyle w:val="NoSpacing"/>
              <w:rPr>
                <w:rFonts w:asciiTheme="minorHAnsi" w:hAnsiTheme="minorHAnsi" w:cstheme="minorHAnsi"/>
              </w:rPr>
            </w:pPr>
          </w:p>
          <w:p w:rsidR="00BC083C" w:rsidRPr="00F13B38" w:rsidRDefault="00BC083C" w:rsidP="00F2494E">
            <w:pPr>
              <w:pStyle w:val="NoSpacing"/>
              <w:rPr>
                <w:rFonts w:asciiTheme="minorHAnsi" w:hAnsiTheme="minorHAnsi" w:cstheme="minorHAnsi"/>
              </w:rPr>
            </w:pPr>
            <w:r w:rsidRPr="00F13B38">
              <w:rPr>
                <w:rFonts w:asciiTheme="minorHAnsi" w:hAnsiTheme="minorHAnsi" w:cstheme="minorHAnsi"/>
              </w:rPr>
              <w:t xml:space="preserve">It is anticipated that this proposal </w:t>
            </w:r>
            <w:r w:rsidR="00A16E73" w:rsidRPr="00F13B38">
              <w:rPr>
                <w:rFonts w:asciiTheme="minorHAnsi" w:hAnsiTheme="minorHAnsi" w:cstheme="minorHAnsi"/>
              </w:rPr>
              <w:t xml:space="preserve">would </w:t>
            </w:r>
            <w:r w:rsidRPr="00F13B38">
              <w:rPr>
                <w:rFonts w:asciiTheme="minorHAnsi" w:hAnsiTheme="minorHAnsi" w:cstheme="minorHAnsi"/>
              </w:rPr>
              <w:t>deliver the following benefits:</w:t>
            </w:r>
          </w:p>
          <w:p w:rsidR="00BC083C" w:rsidRPr="00F13B38" w:rsidRDefault="00BC083C" w:rsidP="004331A0">
            <w:pPr>
              <w:pStyle w:val="NoSpacing"/>
              <w:numPr>
                <w:ilvl w:val="0"/>
                <w:numId w:val="38"/>
              </w:numPr>
              <w:rPr>
                <w:rFonts w:asciiTheme="minorHAnsi" w:hAnsiTheme="minorHAnsi" w:cstheme="minorHAnsi"/>
              </w:rPr>
            </w:pPr>
            <w:r w:rsidRPr="00F13B38">
              <w:rPr>
                <w:rFonts w:asciiTheme="minorHAnsi" w:hAnsiTheme="minorHAnsi" w:cstheme="minorHAnsi"/>
              </w:rPr>
              <w:t>Common strategy delivered by integrated teams will deliver better outcomes to citizens.</w:t>
            </w:r>
          </w:p>
          <w:p w:rsidR="00A16E73" w:rsidRPr="00F13B38" w:rsidRDefault="00A16E73" w:rsidP="00A16E73">
            <w:pPr>
              <w:pStyle w:val="NoSpacing"/>
              <w:numPr>
                <w:ilvl w:val="0"/>
                <w:numId w:val="38"/>
              </w:numPr>
              <w:rPr>
                <w:rFonts w:asciiTheme="minorHAnsi" w:hAnsiTheme="minorHAnsi" w:cstheme="minorHAnsi"/>
              </w:rPr>
            </w:pPr>
            <w:r w:rsidRPr="00F13B38">
              <w:rPr>
                <w:rFonts w:asciiTheme="minorHAnsi" w:hAnsiTheme="minorHAnsi" w:cstheme="minorHAnsi"/>
              </w:rPr>
              <w:t xml:space="preserve">Rationalisation of the </w:t>
            </w:r>
            <w:r w:rsidR="004E3154">
              <w:rPr>
                <w:rFonts w:asciiTheme="minorHAnsi" w:hAnsiTheme="minorHAnsi" w:cstheme="minorHAnsi"/>
              </w:rPr>
              <w:t xml:space="preserve">short term </w:t>
            </w:r>
            <w:r w:rsidRPr="00F13B38">
              <w:rPr>
                <w:rFonts w:asciiTheme="minorHAnsi" w:hAnsiTheme="minorHAnsi" w:cstheme="minorHAnsi"/>
              </w:rPr>
              <w:t xml:space="preserve">provision will enable commissioners to assure and control quality of the provision </w:t>
            </w:r>
            <w:r w:rsidR="004E3154">
              <w:rPr>
                <w:rFonts w:asciiTheme="minorHAnsi" w:hAnsiTheme="minorHAnsi" w:cstheme="minorHAnsi"/>
              </w:rPr>
              <w:t>by having short term beds centralised.  The current model whereby providers can have as few as 3 of these short term beds, means this service is spread over a large number of smaller providers with varying quality</w:t>
            </w:r>
            <w:r w:rsidRPr="00F13B38">
              <w:rPr>
                <w:rFonts w:asciiTheme="minorHAnsi" w:hAnsiTheme="minorHAnsi" w:cstheme="minorHAnsi"/>
              </w:rPr>
              <w:t>.</w:t>
            </w:r>
          </w:p>
          <w:p w:rsidR="004E3154" w:rsidRPr="00F13B38" w:rsidRDefault="00BC083C" w:rsidP="004E3154">
            <w:pPr>
              <w:pStyle w:val="NoSpacing"/>
              <w:numPr>
                <w:ilvl w:val="0"/>
                <w:numId w:val="38"/>
              </w:numPr>
              <w:rPr>
                <w:rFonts w:asciiTheme="minorHAnsi" w:hAnsiTheme="minorHAnsi" w:cstheme="minorHAnsi"/>
              </w:rPr>
            </w:pPr>
            <w:r w:rsidRPr="00F13B38">
              <w:rPr>
                <w:rFonts w:asciiTheme="minorHAnsi" w:hAnsiTheme="minorHAnsi" w:cstheme="minorHAnsi"/>
              </w:rPr>
              <w:t>Efficiencies and standardisation will realise financial savings</w:t>
            </w:r>
            <w:r w:rsidR="004E3154">
              <w:rPr>
                <w:rFonts w:asciiTheme="minorHAnsi" w:hAnsiTheme="minorHAnsi" w:cstheme="minorHAnsi"/>
              </w:rPr>
              <w:t xml:space="preserve"> by having short term beds centralised.  The current model whereby providers can have as few as 3 of these short term beds, means this service is spread over a large number of smaller providers with varying quality and potentially duplicated management costs</w:t>
            </w:r>
            <w:r w:rsidR="004E3154" w:rsidRPr="00F13B38">
              <w:rPr>
                <w:rFonts w:asciiTheme="minorHAnsi" w:hAnsiTheme="minorHAnsi" w:cstheme="minorHAnsi"/>
              </w:rPr>
              <w:t>.</w:t>
            </w:r>
          </w:p>
          <w:p w:rsidR="00BC083C" w:rsidRPr="00F13B38" w:rsidRDefault="00BC083C" w:rsidP="00BC083C">
            <w:pPr>
              <w:pStyle w:val="NoSpacing"/>
              <w:rPr>
                <w:rFonts w:asciiTheme="minorHAnsi" w:hAnsiTheme="minorHAnsi" w:cstheme="minorHAnsi"/>
              </w:rPr>
            </w:pPr>
          </w:p>
          <w:p w:rsidR="006645F1" w:rsidRPr="00F13B38" w:rsidRDefault="006645F1" w:rsidP="00F2494E">
            <w:pPr>
              <w:pStyle w:val="NoSpacing"/>
              <w:rPr>
                <w:rFonts w:asciiTheme="minorHAnsi" w:hAnsiTheme="minorHAnsi" w:cstheme="minorHAnsi"/>
              </w:rPr>
            </w:pPr>
          </w:p>
          <w:p w:rsidR="004331A0" w:rsidRPr="00F13B38" w:rsidRDefault="004331A0" w:rsidP="00C90F2A">
            <w:pPr>
              <w:pStyle w:val="NoSpacing"/>
              <w:rPr>
                <w:rFonts w:asciiTheme="minorHAnsi" w:hAnsiTheme="minorHAnsi" w:cstheme="minorHAnsi"/>
              </w:rPr>
            </w:pPr>
            <w:r w:rsidRPr="00F13B38">
              <w:rPr>
                <w:rFonts w:asciiTheme="minorHAnsi" w:hAnsiTheme="minorHAnsi" w:cstheme="minorHAnsi"/>
              </w:rPr>
              <w:t xml:space="preserve">Under this proposal the Council </w:t>
            </w:r>
            <w:r w:rsidR="00A16E73" w:rsidRPr="00F13B38">
              <w:rPr>
                <w:rFonts w:asciiTheme="minorHAnsi" w:hAnsiTheme="minorHAnsi" w:cstheme="minorHAnsi"/>
              </w:rPr>
              <w:t xml:space="preserve">would </w:t>
            </w:r>
            <w:r w:rsidRPr="00F13B38">
              <w:rPr>
                <w:rFonts w:asciiTheme="minorHAnsi" w:hAnsiTheme="minorHAnsi" w:cstheme="minorHAnsi"/>
              </w:rPr>
              <w:t>intend to stop providing residential care on a phased</w:t>
            </w:r>
            <w:r w:rsidR="00AD03FC" w:rsidRPr="00F13B38">
              <w:rPr>
                <w:rFonts w:asciiTheme="minorHAnsi" w:hAnsiTheme="minorHAnsi" w:cstheme="minorHAnsi"/>
              </w:rPr>
              <w:t xml:space="preserve"> basis</w:t>
            </w:r>
            <w:r w:rsidR="006E0185" w:rsidRPr="00F13B38">
              <w:rPr>
                <w:rFonts w:asciiTheme="minorHAnsi" w:hAnsiTheme="minorHAnsi" w:cstheme="minorHAnsi"/>
              </w:rPr>
              <w:t xml:space="preserve"> in the Care Centres</w:t>
            </w:r>
            <w:r w:rsidR="00AD03FC" w:rsidRPr="00F13B38">
              <w:rPr>
                <w:rFonts w:asciiTheme="minorHAnsi" w:hAnsiTheme="minorHAnsi" w:cstheme="minorHAnsi"/>
              </w:rPr>
              <w:t xml:space="preserve">. </w:t>
            </w:r>
          </w:p>
          <w:p w:rsidR="004331A0" w:rsidRPr="00F13B38" w:rsidRDefault="004331A0" w:rsidP="00F2494E">
            <w:pPr>
              <w:pStyle w:val="NoSpacing"/>
              <w:rPr>
                <w:rFonts w:asciiTheme="minorHAnsi" w:hAnsiTheme="minorHAnsi" w:cstheme="minorHAnsi"/>
              </w:rPr>
            </w:pPr>
          </w:p>
          <w:p w:rsidR="00BE32FE" w:rsidRPr="00F13B38" w:rsidRDefault="00BE32FE" w:rsidP="00F2494E">
            <w:pPr>
              <w:pStyle w:val="NoSpacing"/>
              <w:rPr>
                <w:rFonts w:asciiTheme="minorHAnsi" w:hAnsiTheme="minorHAnsi" w:cstheme="minorHAnsi"/>
              </w:rPr>
            </w:pPr>
            <w:r w:rsidRPr="00F13B38">
              <w:rPr>
                <w:rFonts w:asciiTheme="minorHAnsi" w:hAnsiTheme="minorHAnsi" w:cstheme="minorHAnsi"/>
              </w:rPr>
              <w:t xml:space="preserve">There is a significant dependency on this proposal that </w:t>
            </w:r>
            <w:r w:rsidR="00D2525A" w:rsidRPr="00F13B38">
              <w:rPr>
                <w:rFonts w:asciiTheme="minorHAnsi" w:hAnsiTheme="minorHAnsi" w:cstheme="minorHAnsi"/>
              </w:rPr>
              <w:t xml:space="preserve">would </w:t>
            </w:r>
            <w:r w:rsidRPr="00F13B38">
              <w:rPr>
                <w:rFonts w:asciiTheme="minorHAnsi" w:hAnsiTheme="minorHAnsi" w:cstheme="minorHAnsi"/>
              </w:rPr>
              <w:t xml:space="preserve">require </w:t>
            </w:r>
            <w:r w:rsidR="00EA75B3" w:rsidRPr="00F13B38">
              <w:rPr>
                <w:rFonts w:asciiTheme="minorHAnsi" w:hAnsiTheme="minorHAnsi" w:cstheme="minorHAnsi"/>
              </w:rPr>
              <w:t xml:space="preserve">Sustainability and Transformation Plan </w:t>
            </w:r>
            <w:r w:rsidRPr="00F13B38">
              <w:rPr>
                <w:rFonts w:asciiTheme="minorHAnsi" w:hAnsiTheme="minorHAnsi" w:cstheme="minorHAnsi"/>
              </w:rPr>
              <w:t xml:space="preserve">partners to agree to the implementation of the described </w:t>
            </w:r>
            <w:r w:rsidR="00D2525A" w:rsidRPr="00F13B38">
              <w:rPr>
                <w:rFonts w:asciiTheme="minorHAnsi" w:hAnsiTheme="minorHAnsi" w:cstheme="minorHAnsi"/>
              </w:rPr>
              <w:t xml:space="preserve">multi-disciplinary </w:t>
            </w:r>
            <w:r w:rsidRPr="00F13B38">
              <w:rPr>
                <w:rFonts w:asciiTheme="minorHAnsi" w:hAnsiTheme="minorHAnsi" w:cstheme="minorHAnsi"/>
              </w:rPr>
              <w:t xml:space="preserve">model. There is a risk that partners </w:t>
            </w:r>
            <w:r w:rsidR="00D2525A" w:rsidRPr="00F13B38">
              <w:rPr>
                <w:rFonts w:asciiTheme="minorHAnsi" w:hAnsiTheme="minorHAnsi" w:cstheme="minorHAnsi"/>
              </w:rPr>
              <w:t xml:space="preserve">may not </w:t>
            </w:r>
            <w:r w:rsidRPr="00F13B38">
              <w:rPr>
                <w:rFonts w:asciiTheme="minorHAnsi" w:hAnsiTheme="minorHAnsi" w:cstheme="minorHAnsi"/>
              </w:rPr>
              <w:t>agree which would impact upon the implementation</w:t>
            </w:r>
            <w:r w:rsidR="00EA75B3" w:rsidRPr="00F13B38">
              <w:rPr>
                <w:rFonts w:asciiTheme="minorHAnsi" w:hAnsiTheme="minorHAnsi" w:cstheme="minorHAnsi"/>
              </w:rPr>
              <w:t xml:space="preserve"> or change the plans</w:t>
            </w:r>
            <w:r w:rsidRPr="00F13B38">
              <w:rPr>
                <w:rFonts w:asciiTheme="minorHAnsi" w:hAnsiTheme="minorHAnsi" w:cstheme="minorHAnsi"/>
              </w:rPr>
              <w:t>.</w:t>
            </w:r>
          </w:p>
          <w:p w:rsidR="00E30B8D" w:rsidRDefault="00E30B8D" w:rsidP="00F2494E">
            <w:pPr>
              <w:pStyle w:val="NoSpacing"/>
              <w:rPr>
                <w:rFonts w:asciiTheme="minorHAnsi" w:hAnsiTheme="minorHAnsi" w:cstheme="minorHAnsi"/>
              </w:rPr>
            </w:pPr>
          </w:p>
          <w:p w:rsidR="00EA1732" w:rsidRDefault="000B36A1" w:rsidP="00F2494E">
            <w:pPr>
              <w:pStyle w:val="NoSpacing"/>
              <w:rPr>
                <w:rFonts w:asciiTheme="minorHAnsi" w:hAnsiTheme="minorHAnsi" w:cstheme="minorHAnsi"/>
              </w:rPr>
            </w:pPr>
            <w:r>
              <w:rPr>
                <w:rFonts w:asciiTheme="minorHAnsi" w:hAnsiTheme="minorHAnsi" w:cstheme="minorHAnsi"/>
              </w:rPr>
              <w:lastRenderedPageBreak/>
              <w:t>The Council intends to consult first with services users and other stakeholders of Norman Power Centre between August and November</w:t>
            </w:r>
            <w:r w:rsidR="00EA1732">
              <w:rPr>
                <w:rFonts w:asciiTheme="minorHAnsi" w:hAnsiTheme="minorHAnsi" w:cstheme="minorHAnsi"/>
              </w:rPr>
              <w:t xml:space="preserve"> 2016, due to the underutilised capacity since the Birmingham Community Healthcare NHS Trust ceased using 32 beds</w:t>
            </w:r>
            <w:r>
              <w:rPr>
                <w:rFonts w:asciiTheme="minorHAnsi" w:hAnsiTheme="minorHAnsi" w:cstheme="minorHAnsi"/>
              </w:rPr>
              <w:t xml:space="preserve">. </w:t>
            </w:r>
          </w:p>
          <w:p w:rsidR="00EA1732" w:rsidRDefault="00EA1732" w:rsidP="00F2494E">
            <w:pPr>
              <w:pStyle w:val="NoSpacing"/>
              <w:rPr>
                <w:rFonts w:asciiTheme="minorHAnsi" w:hAnsiTheme="minorHAnsi" w:cstheme="minorHAnsi"/>
              </w:rPr>
            </w:pPr>
          </w:p>
          <w:p w:rsidR="000B36A1" w:rsidRDefault="000B36A1" w:rsidP="00F2494E">
            <w:pPr>
              <w:pStyle w:val="NoSpacing"/>
              <w:rPr>
                <w:rFonts w:asciiTheme="minorHAnsi" w:hAnsiTheme="minorHAnsi" w:cstheme="minorHAnsi"/>
              </w:rPr>
            </w:pPr>
            <w:r>
              <w:rPr>
                <w:rFonts w:asciiTheme="minorHAnsi" w:hAnsiTheme="minorHAnsi" w:cstheme="minorHAnsi"/>
              </w:rPr>
              <w:t xml:space="preserve">Depending on the outcome of this consultation </w:t>
            </w:r>
            <w:r w:rsidR="00EF66D0">
              <w:rPr>
                <w:rFonts w:asciiTheme="minorHAnsi" w:hAnsiTheme="minorHAnsi" w:cstheme="minorHAnsi"/>
              </w:rPr>
              <w:t>the Council will pause for a period of reflection, before commencing further consultation with the service users and stakeholders of Perry Tree Centre in February</w:t>
            </w:r>
            <w:r w:rsidR="00EA1732">
              <w:rPr>
                <w:rFonts w:asciiTheme="minorHAnsi" w:hAnsiTheme="minorHAnsi" w:cstheme="minorHAnsi"/>
              </w:rPr>
              <w:t xml:space="preserve"> 2017</w:t>
            </w:r>
            <w:r w:rsidR="00EF66D0">
              <w:rPr>
                <w:rFonts w:asciiTheme="minorHAnsi" w:hAnsiTheme="minorHAnsi" w:cstheme="minorHAnsi"/>
              </w:rPr>
              <w:t>.</w:t>
            </w:r>
          </w:p>
          <w:p w:rsidR="000B36A1" w:rsidRPr="00F13B38" w:rsidRDefault="000B36A1" w:rsidP="00F2494E">
            <w:pPr>
              <w:pStyle w:val="NoSpacing"/>
              <w:rPr>
                <w:rFonts w:asciiTheme="minorHAnsi" w:hAnsiTheme="minorHAnsi" w:cstheme="minorHAnsi"/>
              </w:rPr>
            </w:pPr>
          </w:p>
          <w:p w:rsidR="00F2494E" w:rsidRPr="00F13B38" w:rsidRDefault="00F2494E" w:rsidP="00F2494E">
            <w:pPr>
              <w:pStyle w:val="NoSpacing"/>
              <w:rPr>
                <w:rFonts w:asciiTheme="minorHAnsi" w:hAnsiTheme="minorHAnsi" w:cstheme="minorHAnsi"/>
                <w:b/>
              </w:rPr>
            </w:pPr>
            <w:r w:rsidRPr="00F13B38">
              <w:rPr>
                <w:rFonts w:asciiTheme="minorHAnsi" w:hAnsiTheme="minorHAnsi" w:cstheme="minorHAnsi"/>
                <w:b/>
              </w:rPr>
              <w:t>Finance</w:t>
            </w:r>
          </w:p>
          <w:p w:rsidR="003076E3" w:rsidRPr="00F13B38" w:rsidRDefault="003076E3" w:rsidP="004331A0">
            <w:pPr>
              <w:pStyle w:val="NoSpacing"/>
              <w:numPr>
                <w:ilvl w:val="0"/>
                <w:numId w:val="16"/>
              </w:numPr>
              <w:rPr>
                <w:rFonts w:asciiTheme="minorHAnsi" w:hAnsiTheme="minorHAnsi" w:cstheme="minorHAnsi"/>
              </w:rPr>
            </w:pPr>
            <w:r w:rsidRPr="00F13B38">
              <w:rPr>
                <w:rFonts w:asciiTheme="minorHAnsi" w:hAnsiTheme="minorHAnsi" w:cstheme="minorHAnsi"/>
              </w:rPr>
              <w:t>The Council can purchase residential care at a more advantageous rate than it can deliver itself. This will deliver operational savings.</w:t>
            </w:r>
          </w:p>
          <w:p w:rsidR="00F2494E" w:rsidRPr="00F13B38" w:rsidRDefault="00F2494E" w:rsidP="004331A0">
            <w:pPr>
              <w:pStyle w:val="NoSpacing"/>
              <w:numPr>
                <w:ilvl w:val="0"/>
                <w:numId w:val="16"/>
              </w:numPr>
              <w:rPr>
                <w:rFonts w:asciiTheme="minorHAnsi" w:hAnsiTheme="minorHAnsi" w:cstheme="minorHAnsi"/>
              </w:rPr>
            </w:pPr>
            <w:r w:rsidRPr="00F13B38">
              <w:rPr>
                <w:rFonts w:asciiTheme="minorHAnsi" w:hAnsiTheme="minorHAnsi" w:cstheme="minorHAnsi"/>
              </w:rPr>
              <w:t>The net operational saving to the Council of the implementation of this proposal is detailed in the table below:</w:t>
            </w:r>
          </w:p>
          <w:p w:rsidR="003076E3" w:rsidRPr="00F13B38" w:rsidRDefault="003076E3" w:rsidP="003076E3">
            <w:pPr>
              <w:pStyle w:val="NoSpacing"/>
              <w:rPr>
                <w:rFonts w:asciiTheme="minorHAnsi" w:hAnsiTheme="minorHAnsi" w:cstheme="minorHAnsi"/>
              </w:rPr>
            </w:pP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541"/>
              <w:gridCol w:w="1541"/>
              <w:gridCol w:w="1541"/>
              <w:gridCol w:w="1541"/>
            </w:tblGrid>
            <w:tr w:rsidR="00AA568F" w:rsidRPr="00F13B38" w:rsidTr="004331A0">
              <w:tc>
                <w:tcPr>
                  <w:tcW w:w="1541" w:type="dxa"/>
                  <w:shd w:val="clear" w:color="auto" w:fill="auto"/>
                </w:tcPr>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2016/17</w:t>
                  </w:r>
                </w:p>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£000</w:t>
                  </w:r>
                </w:p>
              </w:tc>
              <w:tc>
                <w:tcPr>
                  <w:tcW w:w="1541" w:type="dxa"/>
                  <w:shd w:val="clear" w:color="auto" w:fill="auto"/>
                </w:tcPr>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2017/18</w:t>
                  </w:r>
                </w:p>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£000</w:t>
                  </w:r>
                </w:p>
              </w:tc>
              <w:tc>
                <w:tcPr>
                  <w:tcW w:w="1541" w:type="dxa"/>
                  <w:shd w:val="clear" w:color="auto" w:fill="auto"/>
                </w:tcPr>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2018/19</w:t>
                  </w:r>
                </w:p>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£000</w:t>
                  </w:r>
                </w:p>
              </w:tc>
              <w:tc>
                <w:tcPr>
                  <w:tcW w:w="1541" w:type="dxa"/>
                  <w:shd w:val="clear" w:color="auto" w:fill="auto"/>
                </w:tcPr>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2019/20</w:t>
                  </w:r>
                </w:p>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£000</w:t>
                  </w:r>
                </w:p>
              </w:tc>
              <w:tc>
                <w:tcPr>
                  <w:tcW w:w="1541" w:type="dxa"/>
                  <w:shd w:val="clear" w:color="auto" w:fill="auto"/>
                </w:tcPr>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2020/21</w:t>
                  </w:r>
                </w:p>
                <w:p w:rsidR="00F2494E" w:rsidRPr="00F13B38" w:rsidRDefault="00F2494E" w:rsidP="00F44B2F">
                  <w:pPr>
                    <w:pStyle w:val="NoSpacing"/>
                    <w:jc w:val="center"/>
                    <w:rPr>
                      <w:rFonts w:asciiTheme="minorHAnsi" w:hAnsiTheme="minorHAnsi" w:cstheme="minorHAnsi"/>
                    </w:rPr>
                  </w:pPr>
                  <w:r w:rsidRPr="00F13B38">
                    <w:rPr>
                      <w:rFonts w:asciiTheme="minorHAnsi" w:hAnsiTheme="minorHAnsi" w:cstheme="minorHAnsi"/>
                    </w:rPr>
                    <w:t>£000</w:t>
                  </w:r>
                </w:p>
              </w:tc>
            </w:tr>
            <w:tr w:rsidR="00AA568F" w:rsidRPr="00F13B38" w:rsidTr="00281270">
              <w:tc>
                <w:tcPr>
                  <w:tcW w:w="1541" w:type="dxa"/>
                  <w:shd w:val="clear" w:color="auto" w:fill="auto"/>
                </w:tcPr>
                <w:p w:rsidR="004331A0" w:rsidRPr="00F13B38" w:rsidRDefault="00281270" w:rsidP="004331A0">
                  <w:pPr>
                    <w:spacing w:before="120" w:after="240"/>
                    <w:jc w:val="center"/>
                    <w:rPr>
                      <w:rFonts w:asciiTheme="minorHAnsi" w:hAnsiTheme="minorHAnsi" w:cstheme="minorHAnsi"/>
                    </w:rPr>
                  </w:pPr>
                  <w:r w:rsidRPr="00F13B38">
                    <w:rPr>
                      <w:rFonts w:asciiTheme="minorHAnsi" w:hAnsiTheme="minorHAnsi" w:cstheme="minorHAnsi"/>
                    </w:rPr>
                    <w:t>1</w:t>
                  </w:r>
                  <w:r w:rsidR="00172A17" w:rsidRPr="00F13B38">
                    <w:rPr>
                      <w:rFonts w:asciiTheme="minorHAnsi" w:hAnsiTheme="minorHAnsi" w:cstheme="minorHAnsi"/>
                    </w:rPr>
                    <w:t>26</w:t>
                  </w:r>
                </w:p>
              </w:tc>
              <w:tc>
                <w:tcPr>
                  <w:tcW w:w="1541" w:type="dxa"/>
                  <w:shd w:val="clear" w:color="auto" w:fill="auto"/>
                </w:tcPr>
                <w:p w:rsidR="004331A0" w:rsidRPr="00F13B38" w:rsidRDefault="00281270" w:rsidP="002B3687">
                  <w:pPr>
                    <w:spacing w:before="120" w:after="240"/>
                    <w:jc w:val="center"/>
                    <w:rPr>
                      <w:rFonts w:asciiTheme="minorHAnsi" w:hAnsiTheme="minorHAnsi" w:cstheme="minorHAnsi"/>
                    </w:rPr>
                  </w:pPr>
                  <w:r w:rsidRPr="00F13B38">
                    <w:rPr>
                      <w:rFonts w:asciiTheme="minorHAnsi" w:hAnsiTheme="minorHAnsi" w:cstheme="minorHAnsi"/>
                    </w:rPr>
                    <w:t>(562)</w:t>
                  </w:r>
                </w:p>
              </w:tc>
              <w:tc>
                <w:tcPr>
                  <w:tcW w:w="1541" w:type="dxa"/>
                  <w:shd w:val="clear" w:color="auto" w:fill="auto"/>
                </w:tcPr>
                <w:p w:rsidR="004331A0" w:rsidRPr="00F13B38" w:rsidRDefault="00281270" w:rsidP="002B3687">
                  <w:pPr>
                    <w:spacing w:before="120" w:after="240"/>
                    <w:jc w:val="center"/>
                    <w:rPr>
                      <w:rFonts w:asciiTheme="minorHAnsi" w:hAnsiTheme="minorHAnsi" w:cstheme="minorHAnsi"/>
                    </w:rPr>
                  </w:pPr>
                  <w:r w:rsidRPr="00F13B38">
                    <w:rPr>
                      <w:rFonts w:asciiTheme="minorHAnsi" w:hAnsiTheme="minorHAnsi" w:cstheme="minorHAnsi"/>
                    </w:rPr>
                    <w:t>(647)</w:t>
                  </w:r>
                </w:p>
              </w:tc>
              <w:tc>
                <w:tcPr>
                  <w:tcW w:w="1541" w:type="dxa"/>
                  <w:shd w:val="clear" w:color="auto" w:fill="auto"/>
                </w:tcPr>
                <w:p w:rsidR="004331A0" w:rsidRPr="00F13B38" w:rsidRDefault="00281270" w:rsidP="002B3687">
                  <w:pPr>
                    <w:spacing w:before="120" w:after="240"/>
                    <w:jc w:val="center"/>
                    <w:rPr>
                      <w:rFonts w:asciiTheme="minorHAnsi" w:hAnsiTheme="minorHAnsi" w:cstheme="minorHAnsi"/>
                    </w:rPr>
                  </w:pPr>
                  <w:r w:rsidRPr="00F13B38">
                    <w:rPr>
                      <w:rFonts w:asciiTheme="minorHAnsi" w:hAnsiTheme="minorHAnsi" w:cstheme="minorHAnsi"/>
                    </w:rPr>
                    <w:t>(735)</w:t>
                  </w:r>
                </w:p>
              </w:tc>
              <w:tc>
                <w:tcPr>
                  <w:tcW w:w="1541" w:type="dxa"/>
                  <w:shd w:val="clear" w:color="auto" w:fill="auto"/>
                  <w:vAlign w:val="center"/>
                </w:tcPr>
                <w:p w:rsidR="00281270" w:rsidRPr="00F13B38" w:rsidRDefault="00281270" w:rsidP="00281270">
                  <w:pPr>
                    <w:jc w:val="center"/>
                    <w:rPr>
                      <w:rFonts w:asciiTheme="minorHAnsi" w:hAnsiTheme="minorHAnsi" w:cstheme="minorHAnsi"/>
                    </w:rPr>
                  </w:pPr>
                  <w:r w:rsidRPr="00F13B38">
                    <w:rPr>
                      <w:rFonts w:asciiTheme="minorHAnsi" w:hAnsiTheme="minorHAnsi" w:cstheme="minorHAnsi"/>
                    </w:rPr>
                    <w:t>(823)</w:t>
                  </w:r>
                </w:p>
              </w:tc>
            </w:tr>
          </w:tbl>
          <w:p w:rsidR="004331A0" w:rsidRPr="00F13B38" w:rsidRDefault="004331A0" w:rsidP="000B36A1"/>
        </w:tc>
      </w:tr>
      <w:tr w:rsidR="00AA568F" w:rsidRPr="00F13B38" w:rsidTr="001A168B">
        <w:tc>
          <w:tcPr>
            <w:tcW w:w="2518" w:type="dxa"/>
            <w:shd w:val="clear" w:color="auto" w:fill="DBE5F1" w:themeFill="accent1" w:themeFillTint="33"/>
          </w:tcPr>
          <w:p w:rsidR="00863E78" w:rsidRPr="00F13B38" w:rsidRDefault="00C90F2A" w:rsidP="00716635">
            <w:pPr>
              <w:spacing w:line="240" w:lineRule="auto"/>
              <w:rPr>
                <w:rFonts w:asciiTheme="minorHAnsi" w:hAnsiTheme="minorHAnsi" w:cstheme="minorHAnsi"/>
                <w:b/>
                <w:bCs/>
              </w:rPr>
            </w:pPr>
            <w:r w:rsidRPr="00AA568F">
              <w:rPr>
                <w:rFonts w:asciiTheme="minorHAnsi" w:hAnsiTheme="minorHAnsi" w:cstheme="minorHAnsi"/>
                <w:b/>
                <w:bCs/>
              </w:rPr>
              <w:lastRenderedPageBreak/>
              <w:t>Assessment</w:t>
            </w:r>
            <w:r w:rsidR="00863E78" w:rsidRPr="00F13B38">
              <w:rPr>
                <w:rFonts w:asciiTheme="minorHAnsi" w:hAnsiTheme="minorHAnsi" w:cstheme="minorHAnsi"/>
                <w:b/>
                <w:bCs/>
              </w:rPr>
              <w:t xml:space="preserve"> of Option </w:t>
            </w:r>
          </w:p>
        </w:tc>
        <w:tc>
          <w:tcPr>
            <w:tcW w:w="7848" w:type="dxa"/>
          </w:tcPr>
          <w:p w:rsidR="00A16E73" w:rsidRPr="00F13B38" w:rsidRDefault="00A16E73" w:rsidP="00A16E73">
            <w:pPr>
              <w:pStyle w:val="NoSpacing"/>
              <w:rPr>
                <w:b/>
              </w:rPr>
            </w:pPr>
            <w:r w:rsidRPr="00F13B38">
              <w:rPr>
                <w:b/>
              </w:rPr>
              <w:t>Delivery of identified outcomes:</w:t>
            </w:r>
          </w:p>
          <w:p w:rsidR="00C90F2A" w:rsidRPr="00F13B38" w:rsidRDefault="00C90F2A" w:rsidP="00C90F2A">
            <w:pPr>
              <w:pStyle w:val="NoSpacing"/>
              <w:rPr>
                <w:b/>
              </w:rPr>
            </w:pPr>
          </w:p>
          <w:p w:rsidR="00C90F2A" w:rsidRPr="00F13B38" w:rsidRDefault="00C90F2A" w:rsidP="00C90F2A">
            <w:pPr>
              <w:pStyle w:val="NoSpacing"/>
              <w:rPr>
                <w:b/>
              </w:rPr>
            </w:pPr>
            <w:r w:rsidRPr="00F13B38">
              <w:rPr>
                <w:b/>
              </w:rPr>
              <w:t>Pros</w:t>
            </w:r>
          </w:p>
          <w:p w:rsidR="00D2525A" w:rsidRPr="00F13B38" w:rsidRDefault="00D2525A" w:rsidP="00D2525A">
            <w:pPr>
              <w:pStyle w:val="NoSpacing"/>
              <w:numPr>
                <w:ilvl w:val="0"/>
                <w:numId w:val="40"/>
              </w:numPr>
            </w:pPr>
            <w:r w:rsidRPr="00F13B38">
              <w:t xml:space="preserve">This option takes advantage of opportunities to deliver improved outcomes </w:t>
            </w:r>
            <w:r w:rsidR="004E3154">
              <w:t xml:space="preserve">for service users </w:t>
            </w:r>
            <w:r w:rsidRPr="00F13B38">
              <w:t>through partnership working or integration of health and social care.</w:t>
            </w:r>
          </w:p>
          <w:p w:rsidR="00C90F2A" w:rsidRPr="00F13B38" w:rsidRDefault="00C90F2A" w:rsidP="00C90F2A">
            <w:pPr>
              <w:pStyle w:val="NoSpacing"/>
              <w:numPr>
                <w:ilvl w:val="0"/>
                <w:numId w:val="40"/>
              </w:numPr>
            </w:pPr>
            <w:r w:rsidRPr="00F13B38">
              <w:t xml:space="preserve">This option delivers </w:t>
            </w:r>
            <w:r w:rsidR="008F77C5">
              <w:t xml:space="preserve">some of </w:t>
            </w:r>
            <w:r w:rsidRPr="00F13B38">
              <w:t>the financial savings detailed in the Council Business Plan and Budget 2016+.</w:t>
            </w:r>
          </w:p>
          <w:p w:rsidR="00C90F2A" w:rsidRPr="00F13B38" w:rsidRDefault="00C90F2A" w:rsidP="00C90F2A">
            <w:pPr>
              <w:pStyle w:val="NoSpacing"/>
              <w:numPr>
                <w:ilvl w:val="0"/>
                <w:numId w:val="40"/>
              </w:numPr>
            </w:pPr>
            <w:r w:rsidRPr="00F13B38">
              <w:t>This option contributes to the reduction in the Council’s overall workforce.</w:t>
            </w:r>
          </w:p>
          <w:p w:rsidR="00C90F2A" w:rsidRPr="00F13B38" w:rsidRDefault="00C90F2A" w:rsidP="00C90F2A">
            <w:pPr>
              <w:pStyle w:val="NoSpacing"/>
            </w:pPr>
          </w:p>
          <w:p w:rsidR="00C90F2A" w:rsidRPr="00F13B38" w:rsidRDefault="00C90F2A" w:rsidP="00C90F2A">
            <w:pPr>
              <w:pStyle w:val="NoSpacing"/>
              <w:rPr>
                <w:b/>
              </w:rPr>
            </w:pPr>
            <w:r w:rsidRPr="00F13B38">
              <w:rPr>
                <w:b/>
              </w:rPr>
              <w:t>Cons</w:t>
            </w:r>
          </w:p>
          <w:p w:rsidR="0091022D" w:rsidRPr="00F13B38" w:rsidRDefault="00D2525A" w:rsidP="00BF6DCB">
            <w:pPr>
              <w:pStyle w:val="ListParagraph"/>
              <w:numPr>
                <w:ilvl w:val="0"/>
                <w:numId w:val="40"/>
              </w:numPr>
              <w:spacing w:line="240" w:lineRule="auto"/>
              <w:rPr>
                <w:rFonts w:asciiTheme="minorHAnsi" w:hAnsiTheme="minorHAnsi" w:cstheme="minorHAnsi"/>
              </w:rPr>
            </w:pPr>
            <w:r w:rsidRPr="00F13B38">
              <w:rPr>
                <w:rFonts w:asciiTheme="minorHAnsi" w:hAnsiTheme="minorHAnsi" w:cstheme="minorHAnsi"/>
                <w:sz w:val="22"/>
                <w:szCs w:val="22"/>
              </w:rPr>
              <w:t>Under this option, c</w:t>
            </w:r>
            <w:r w:rsidR="00EA75B3" w:rsidRPr="00F13B38">
              <w:rPr>
                <w:rFonts w:asciiTheme="minorHAnsi" w:hAnsiTheme="minorHAnsi" w:cstheme="minorHAnsi"/>
                <w:sz w:val="22"/>
                <w:szCs w:val="22"/>
              </w:rPr>
              <w:t xml:space="preserve">urrent residents would have to move into alternative accommodation. This </w:t>
            </w:r>
            <w:r w:rsidRPr="00F13B38">
              <w:rPr>
                <w:rFonts w:asciiTheme="minorHAnsi" w:hAnsiTheme="minorHAnsi" w:cstheme="minorHAnsi"/>
                <w:sz w:val="22"/>
                <w:szCs w:val="22"/>
              </w:rPr>
              <w:t>may</w:t>
            </w:r>
            <w:r w:rsidR="00EA75B3" w:rsidRPr="00F13B38">
              <w:rPr>
                <w:rFonts w:asciiTheme="minorHAnsi" w:hAnsiTheme="minorHAnsi" w:cstheme="minorHAnsi"/>
                <w:sz w:val="22"/>
                <w:szCs w:val="22"/>
              </w:rPr>
              <w:t xml:space="preserve"> be </w:t>
            </w:r>
            <w:r w:rsidRPr="00F13B38">
              <w:rPr>
                <w:rFonts w:asciiTheme="minorHAnsi" w:hAnsiTheme="minorHAnsi" w:cstheme="minorHAnsi"/>
                <w:sz w:val="22"/>
                <w:szCs w:val="22"/>
              </w:rPr>
              <w:t>difficult</w:t>
            </w:r>
            <w:r w:rsidR="00EA75B3" w:rsidRPr="00F13B38">
              <w:rPr>
                <w:rFonts w:asciiTheme="minorHAnsi" w:hAnsiTheme="minorHAnsi" w:cstheme="minorHAnsi"/>
                <w:sz w:val="22"/>
                <w:szCs w:val="22"/>
              </w:rPr>
              <w:t xml:space="preserve"> for residents and families</w:t>
            </w:r>
            <w:r w:rsidRPr="00F13B38">
              <w:rPr>
                <w:rFonts w:asciiTheme="minorHAnsi" w:hAnsiTheme="minorHAnsi" w:cstheme="minorHAnsi"/>
                <w:sz w:val="22"/>
                <w:szCs w:val="22"/>
              </w:rPr>
              <w:t>.</w:t>
            </w:r>
          </w:p>
          <w:p w:rsidR="00C90F2A" w:rsidRPr="00F13B38" w:rsidRDefault="00C90F2A" w:rsidP="00C90F2A">
            <w:pPr>
              <w:rPr>
                <w:rFonts w:asciiTheme="minorHAnsi" w:hAnsiTheme="minorHAnsi" w:cstheme="minorHAnsi"/>
              </w:rPr>
            </w:pPr>
          </w:p>
          <w:p w:rsidR="00C90F2A" w:rsidRPr="00F13B38" w:rsidRDefault="00C90F2A" w:rsidP="00C90F2A">
            <w:pPr>
              <w:rPr>
                <w:rFonts w:asciiTheme="minorHAnsi" w:hAnsiTheme="minorHAnsi" w:cstheme="minorHAnsi"/>
                <w:b/>
              </w:rPr>
            </w:pPr>
            <w:r w:rsidRPr="00F13B38">
              <w:rPr>
                <w:rFonts w:asciiTheme="minorHAnsi" w:hAnsiTheme="minorHAnsi" w:cstheme="minorHAnsi"/>
                <w:b/>
              </w:rPr>
              <w:t>Additional considerations</w:t>
            </w:r>
          </w:p>
          <w:p w:rsidR="00C90F2A" w:rsidRPr="00F13B38" w:rsidRDefault="00C90F2A" w:rsidP="00C90F2A">
            <w:pPr>
              <w:pStyle w:val="NoSpacing"/>
              <w:numPr>
                <w:ilvl w:val="0"/>
                <w:numId w:val="40"/>
              </w:numPr>
              <w:rPr>
                <w:rFonts w:asciiTheme="minorHAnsi" w:hAnsiTheme="minorHAnsi" w:cstheme="minorHAnsi"/>
              </w:rPr>
            </w:pPr>
            <w:r w:rsidRPr="00F13B38">
              <w:rPr>
                <w:rFonts w:asciiTheme="minorHAnsi" w:hAnsiTheme="minorHAnsi" w:cstheme="minorHAnsi"/>
              </w:rPr>
              <w:t>The continued use of the buildings to perform a key role in the delivery of care and support in the City would be secured in the short / medium term.</w:t>
            </w:r>
          </w:p>
          <w:p w:rsidR="00F2494E" w:rsidRPr="00F13B38" w:rsidRDefault="00C90F2A" w:rsidP="00F2494E">
            <w:pPr>
              <w:pStyle w:val="NoSpacing"/>
              <w:numPr>
                <w:ilvl w:val="0"/>
                <w:numId w:val="40"/>
              </w:numPr>
              <w:rPr>
                <w:rFonts w:asciiTheme="minorHAnsi" w:hAnsiTheme="minorHAnsi" w:cstheme="minorHAnsi"/>
                <w:b/>
              </w:rPr>
            </w:pPr>
            <w:r w:rsidRPr="00F13B38">
              <w:rPr>
                <w:rFonts w:asciiTheme="minorHAnsi" w:hAnsiTheme="minorHAnsi" w:cstheme="minorHAnsi"/>
              </w:rPr>
              <w:t>The buildings were built to a high specification and would be used to deliver services to people with complex support needs, as originally intended.</w:t>
            </w:r>
          </w:p>
          <w:p w:rsidR="002733FC" w:rsidRPr="00F13B38" w:rsidRDefault="002733FC" w:rsidP="00C90F2A">
            <w:pPr>
              <w:pStyle w:val="ListParagraph"/>
              <w:numPr>
                <w:ilvl w:val="0"/>
                <w:numId w:val="40"/>
              </w:numPr>
              <w:spacing w:line="240" w:lineRule="auto"/>
              <w:rPr>
                <w:rFonts w:asciiTheme="minorHAnsi" w:eastAsia="PMingLiU" w:hAnsiTheme="minorHAnsi" w:cstheme="minorHAnsi"/>
                <w:iCs/>
                <w:sz w:val="22"/>
                <w:szCs w:val="22"/>
              </w:rPr>
            </w:pPr>
            <w:r w:rsidRPr="00F13B38">
              <w:rPr>
                <w:rFonts w:asciiTheme="minorHAnsi" w:hAnsiTheme="minorHAnsi" w:cstheme="minorHAnsi"/>
                <w:sz w:val="22"/>
                <w:szCs w:val="22"/>
              </w:rPr>
              <w:t>Many of the residents in the Care Centres have dementia</w:t>
            </w:r>
            <w:r w:rsidR="00EA1732">
              <w:rPr>
                <w:rFonts w:asciiTheme="minorHAnsi" w:hAnsiTheme="minorHAnsi" w:cstheme="minorHAnsi"/>
                <w:sz w:val="22"/>
                <w:szCs w:val="22"/>
              </w:rPr>
              <w:t xml:space="preserve"> and t</w:t>
            </w:r>
            <w:r w:rsidRPr="00F13B38">
              <w:rPr>
                <w:rFonts w:asciiTheme="minorHAnsi" w:hAnsiTheme="minorHAnsi" w:cstheme="minorHAnsi"/>
                <w:sz w:val="22"/>
                <w:szCs w:val="22"/>
              </w:rPr>
              <w:t>here is a risk that moving to alternative accommodation will not be beneficial</w:t>
            </w:r>
            <w:r w:rsidR="00EA1732">
              <w:rPr>
                <w:rFonts w:asciiTheme="minorHAnsi" w:hAnsiTheme="minorHAnsi" w:cstheme="minorHAnsi"/>
                <w:sz w:val="22"/>
                <w:szCs w:val="22"/>
              </w:rPr>
              <w:t>.</w:t>
            </w:r>
          </w:p>
          <w:p w:rsidR="002B3687" w:rsidRPr="00C76430" w:rsidRDefault="002B3687" w:rsidP="00D2525A">
            <w:pPr>
              <w:pStyle w:val="ListParagraph"/>
              <w:numPr>
                <w:ilvl w:val="0"/>
                <w:numId w:val="40"/>
              </w:numPr>
              <w:spacing w:line="240" w:lineRule="auto"/>
              <w:rPr>
                <w:rFonts w:asciiTheme="minorHAnsi" w:eastAsia="PMingLiU" w:hAnsiTheme="minorHAnsi" w:cstheme="minorHAnsi"/>
                <w:iCs/>
                <w:sz w:val="22"/>
                <w:szCs w:val="22"/>
              </w:rPr>
            </w:pPr>
            <w:r w:rsidRPr="00F13B38">
              <w:rPr>
                <w:rFonts w:asciiTheme="minorHAnsi" w:hAnsiTheme="minorHAnsi" w:cstheme="minorHAnsi"/>
                <w:sz w:val="22"/>
                <w:szCs w:val="22"/>
              </w:rPr>
              <w:t xml:space="preserve">The proposed future provision represents a significant change from what is provided currently </w:t>
            </w:r>
            <w:r w:rsidR="00D2525A" w:rsidRPr="00F13B38">
              <w:rPr>
                <w:rFonts w:asciiTheme="minorHAnsi" w:hAnsiTheme="minorHAnsi" w:cstheme="minorHAnsi"/>
                <w:sz w:val="22"/>
                <w:szCs w:val="22"/>
              </w:rPr>
              <w:t xml:space="preserve">by Birmingham City Council </w:t>
            </w:r>
            <w:r w:rsidRPr="00F13B38">
              <w:rPr>
                <w:rFonts w:asciiTheme="minorHAnsi" w:hAnsiTheme="minorHAnsi" w:cstheme="minorHAnsi"/>
                <w:sz w:val="22"/>
                <w:szCs w:val="22"/>
              </w:rPr>
              <w:t xml:space="preserve">and as a result TUPE </w:t>
            </w:r>
            <w:r w:rsidR="00D2525A" w:rsidRPr="00F13B38">
              <w:rPr>
                <w:rFonts w:asciiTheme="minorHAnsi" w:hAnsiTheme="minorHAnsi" w:cstheme="minorHAnsi"/>
                <w:sz w:val="22"/>
                <w:szCs w:val="22"/>
              </w:rPr>
              <w:t xml:space="preserve">may </w:t>
            </w:r>
            <w:r w:rsidRPr="00F13B38">
              <w:rPr>
                <w:rFonts w:asciiTheme="minorHAnsi" w:hAnsiTheme="minorHAnsi" w:cstheme="minorHAnsi"/>
                <w:sz w:val="22"/>
                <w:szCs w:val="22"/>
              </w:rPr>
              <w:t>not apply</w:t>
            </w:r>
            <w:r w:rsidR="00D2525A" w:rsidRPr="00F13B38">
              <w:rPr>
                <w:rFonts w:asciiTheme="minorHAnsi" w:hAnsiTheme="minorHAnsi" w:cstheme="minorHAnsi"/>
                <w:sz w:val="22"/>
                <w:szCs w:val="22"/>
              </w:rPr>
              <w:t xml:space="preserve"> to those staff currently working in the four Care Centres</w:t>
            </w:r>
            <w:r w:rsidRPr="00F13B38">
              <w:rPr>
                <w:rFonts w:asciiTheme="minorHAnsi" w:hAnsiTheme="minorHAnsi" w:cstheme="minorHAnsi"/>
                <w:sz w:val="22"/>
                <w:szCs w:val="22"/>
              </w:rPr>
              <w:t>.</w:t>
            </w:r>
          </w:p>
          <w:p w:rsidR="00B94AB4" w:rsidRPr="00D21559" w:rsidRDefault="00B94AB4" w:rsidP="00B94AB4">
            <w:pPr>
              <w:pStyle w:val="ListParagraph"/>
              <w:numPr>
                <w:ilvl w:val="0"/>
                <w:numId w:val="40"/>
              </w:numPr>
              <w:spacing w:line="240" w:lineRule="auto"/>
              <w:rPr>
                <w:rFonts w:asciiTheme="minorHAnsi" w:eastAsia="PMingLiU" w:hAnsiTheme="minorHAnsi" w:cstheme="minorHAnsi"/>
                <w:iCs/>
                <w:sz w:val="22"/>
                <w:szCs w:val="22"/>
              </w:rPr>
            </w:pPr>
            <w:r>
              <w:rPr>
                <w:rFonts w:asciiTheme="minorHAnsi" w:hAnsiTheme="minorHAnsi" w:cstheme="minorHAnsi"/>
                <w:sz w:val="22"/>
                <w:szCs w:val="22"/>
              </w:rPr>
              <w:t>Where a link to a role previously provided by Birmingham City Council can be shown, TUPE may apply and a detailed analysis of current workforce will be required to ensure it cannot be claimed that there has been a transfer of business and/ or services.</w:t>
            </w:r>
          </w:p>
          <w:p w:rsidR="00B94AB4" w:rsidRPr="00D21559" w:rsidRDefault="00B94AB4" w:rsidP="00B94AB4">
            <w:pPr>
              <w:pStyle w:val="ListParagraph"/>
              <w:numPr>
                <w:ilvl w:val="0"/>
                <w:numId w:val="40"/>
              </w:numPr>
              <w:spacing w:line="240" w:lineRule="auto"/>
              <w:rPr>
                <w:rFonts w:asciiTheme="minorHAnsi" w:eastAsia="PMingLiU" w:hAnsiTheme="minorHAnsi" w:cstheme="minorHAnsi"/>
                <w:iCs/>
                <w:sz w:val="22"/>
                <w:szCs w:val="22"/>
              </w:rPr>
            </w:pPr>
            <w:r>
              <w:rPr>
                <w:rFonts w:asciiTheme="minorHAnsi" w:hAnsiTheme="minorHAnsi" w:cstheme="minorHAnsi"/>
                <w:sz w:val="22"/>
                <w:szCs w:val="22"/>
              </w:rPr>
              <w:t>This will require detailed due diligence and any commissioning or procurement activity will require legal advice to ensure that current staff are dealt with appropriately.</w:t>
            </w:r>
          </w:p>
          <w:p w:rsidR="00B94AB4" w:rsidRPr="00C76430" w:rsidRDefault="00B94AB4" w:rsidP="00B94AB4">
            <w:pPr>
              <w:pStyle w:val="ListParagraph"/>
              <w:numPr>
                <w:ilvl w:val="0"/>
                <w:numId w:val="40"/>
              </w:numPr>
              <w:spacing w:line="240" w:lineRule="auto"/>
              <w:rPr>
                <w:rFonts w:asciiTheme="minorHAnsi" w:eastAsia="PMingLiU" w:hAnsiTheme="minorHAnsi" w:cstheme="minorHAnsi"/>
                <w:iCs/>
                <w:sz w:val="22"/>
                <w:szCs w:val="22"/>
              </w:rPr>
            </w:pPr>
            <w:r>
              <w:rPr>
                <w:rFonts w:asciiTheme="minorHAnsi" w:hAnsiTheme="minorHAnsi" w:cstheme="minorHAnsi"/>
                <w:sz w:val="22"/>
                <w:szCs w:val="22"/>
              </w:rPr>
              <w:t xml:space="preserve">Where it can be shown that TUPE does not apply then the closure of the </w:t>
            </w:r>
            <w:r>
              <w:rPr>
                <w:rFonts w:asciiTheme="minorHAnsi" w:hAnsiTheme="minorHAnsi" w:cstheme="minorHAnsi"/>
                <w:sz w:val="22"/>
                <w:szCs w:val="22"/>
              </w:rPr>
              <w:lastRenderedPageBreak/>
              <w:t>buildings will give rise to a redundancy situation and costs will need to be considered.</w:t>
            </w:r>
          </w:p>
          <w:p w:rsidR="00761D05" w:rsidRPr="00F13B38" w:rsidRDefault="00761D05" w:rsidP="00BF6DCB">
            <w:pPr>
              <w:pStyle w:val="ListParagraph"/>
              <w:spacing w:line="240" w:lineRule="auto"/>
              <w:ind w:left="360"/>
              <w:rPr>
                <w:rFonts w:asciiTheme="minorHAnsi" w:eastAsia="PMingLiU" w:hAnsiTheme="minorHAnsi" w:cstheme="minorHAnsi"/>
                <w:iCs/>
                <w:sz w:val="22"/>
                <w:szCs w:val="22"/>
              </w:rPr>
            </w:pPr>
          </w:p>
        </w:tc>
      </w:tr>
      <w:tr w:rsidR="00AA568F" w:rsidRPr="00F13B38" w:rsidTr="001A168B">
        <w:tc>
          <w:tcPr>
            <w:tcW w:w="2518" w:type="dxa"/>
            <w:shd w:val="clear" w:color="auto" w:fill="DBE5F1" w:themeFill="accent1" w:themeFillTint="33"/>
          </w:tcPr>
          <w:p w:rsidR="006805BA" w:rsidRPr="00F13B38" w:rsidRDefault="00C832D1" w:rsidP="00891AB2">
            <w:pPr>
              <w:spacing w:line="240" w:lineRule="auto"/>
              <w:rPr>
                <w:rFonts w:asciiTheme="minorHAnsi" w:eastAsia="PMingLiU" w:hAnsiTheme="minorHAnsi" w:cstheme="minorHAnsi"/>
                <w:i/>
                <w:iCs/>
              </w:rPr>
            </w:pPr>
            <w:r w:rsidRPr="00F13B38">
              <w:rPr>
                <w:rFonts w:asciiTheme="minorHAnsi" w:hAnsiTheme="minorHAnsi" w:cstheme="minorHAnsi"/>
                <w:b/>
                <w:bCs/>
              </w:rPr>
              <w:lastRenderedPageBreak/>
              <w:t>Stakeholders engaged</w:t>
            </w:r>
          </w:p>
        </w:tc>
        <w:tc>
          <w:tcPr>
            <w:tcW w:w="7848" w:type="dxa"/>
          </w:tcPr>
          <w:p w:rsidR="006805BA" w:rsidRPr="00F13B38" w:rsidRDefault="00F2494E" w:rsidP="00891AB2">
            <w:pPr>
              <w:pStyle w:val="ListParagraph"/>
              <w:spacing w:line="240" w:lineRule="auto"/>
              <w:ind w:left="0"/>
              <w:rPr>
                <w:rFonts w:asciiTheme="minorHAnsi" w:hAnsiTheme="minorHAnsi" w:cstheme="minorHAnsi"/>
                <w:b/>
                <w:bCs/>
                <w:sz w:val="22"/>
                <w:szCs w:val="22"/>
              </w:rPr>
            </w:pPr>
            <w:r w:rsidRPr="00F13B38">
              <w:rPr>
                <w:rFonts w:asciiTheme="minorHAnsi" w:hAnsiTheme="minorHAnsi" w:cstheme="minorHAnsi"/>
                <w:bCs/>
                <w:sz w:val="22"/>
                <w:szCs w:val="22"/>
              </w:rPr>
              <w:t xml:space="preserve">A range of internal </w:t>
            </w:r>
            <w:r w:rsidR="004E3154">
              <w:rPr>
                <w:rFonts w:asciiTheme="minorHAnsi" w:hAnsiTheme="minorHAnsi" w:cstheme="minorHAnsi"/>
                <w:bCs/>
                <w:sz w:val="22"/>
                <w:szCs w:val="22"/>
              </w:rPr>
              <w:t xml:space="preserve">and external </w:t>
            </w:r>
            <w:r w:rsidRPr="00F13B38">
              <w:rPr>
                <w:rFonts w:asciiTheme="minorHAnsi" w:hAnsiTheme="minorHAnsi" w:cstheme="minorHAnsi"/>
                <w:bCs/>
                <w:sz w:val="22"/>
                <w:szCs w:val="22"/>
              </w:rPr>
              <w:t>stakeholders have been consulted.  Permission is sought to consult, to enable a wider range of external stakeholders to be consulted, including service users, staff and the provider market.</w:t>
            </w:r>
          </w:p>
        </w:tc>
      </w:tr>
      <w:tr w:rsidR="00AA568F" w:rsidRPr="00F13B38" w:rsidTr="001A168B">
        <w:tc>
          <w:tcPr>
            <w:tcW w:w="2518" w:type="dxa"/>
            <w:shd w:val="clear" w:color="auto" w:fill="DBE5F1" w:themeFill="accent1" w:themeFillTint="33"/>
          </w:tcPr>
          <w:p w:rsidR="00F2494E" w:rsidRPr="00F13B38" w:rsidRDefault="00F2494E" w:rsidP="00716635">
            <w:pPr>
              <w:spacing w:line="240" w:lineRule="auto"/>
              <w:rPr>
                <w:rFonts w:asciiTheme="minorHAnsi" w:eastAsia="PMingLiU" w:hAnsiTheme="minorHAnsi" w:cstheme="minorHAnsi"/>
                <w:b/>
                <w:bCs/>
              </w:rPr>
            </w:pPr>
            <w:r w:rsidRPr="00F13B38">
              <w:rPr>
                <w:rFonts w:asciiTheme="minorHAnsi" w:eastAsia="PMingLiU" w:hAnsiTheme="minorHAnsi" w:cstheme="minorHAnsi"/>
                <w:b/>
                <w:bCs/>
              </w:rPr>
              <w:t xml:space="preserve">Recommendation </w:t>
            </w:r>
          </w:p>
        </w:tc>
        <w:tc>
          <w:tcPr>
            <w:tcW w:w="7848" w:type="dxa"/>
          </w:tcPr>
          <w:p w:rsidR="00F2494E" w:rsidRPr="00F13B38" w:rsidRDefault="00D2525A" w:rsidP="00BF6DCB">
            <w:pPr>
              <w:pStyle w:val="NoSpacing"/>
              <w:tabs>
                <w:tab w:val="right" w:pos="7632"/>
              </w:tabs>
              <w:rPr>
                <w:rFonts w:asciiTheme="minorHAnsi" w:hAnsiTheme="minorHAnsi" w:cstheme="minorHAnsi"/>
              </w:rPr>
            </w:pPr>
            <w:r w:rsidRPr="00F13B38">
              <w:t xml:space="preserve">Following initial analysis by the Council this option is </w:t>
            </w:r>
            <w:r w:rsidRPr="00F13B38">
              <w:rPr>
                <w:u w:val="single"/>
              </w:rPr>
              <w:t>preferred</w:t>
            </w:r>
            <w:r w:rsidRPr="00F13B38">
              <w:t xml:space="preserve"> as part of a stepped programme of change resulting in the eventual exit from all of the Council’s four Care Centres and is subject to consultation. It will allow time for the market to be shaped and for the Council to further manage any risks associated with an exit from service provision.</w:t>
            </w:r>
          </w:p>
        </w:tc>
      </w:tr>
      <w:tr w:rsidR="00AA568F" w:rsidRPr="00F13B38" w:rsidTr="001A168B">
        <w:tc>
          <w:tcPr>
            <w:tcW w:w="2518" w:type="dxa"/>
            <w:shd w:val="clear" w:color="auto" w:fill="DBE5F1" w:themeFill="accent1" w:themeFillTint="33"/>
          </w:tcPr>
          <w:p w:rsidR="00F2494E" w:rsidRPr="00F13B38" w:rsidRDefault="00F2494E" w:rsidP="00716635">
            <w:pPr>
              <w:spacing w:line="240" w:lineRule="auto"/>
              <w:rPr>
                <w:rFonts w:asciiTheme="minorHAnsi" w:eastAsia="PMingLiU" w:hAnsiTheme="minorHAnsi" w:cstheme="minorHAnsi"/>
                <w:b/>
                <w:bCs/>
              </w:rPr>
            </w:pPr>
            <w:r w:rsidRPr="00F13B38">
              <w:rPr>
                <w:rFonts w:asciiTheme="minorHAnsi" w:eastAsia="PMingLiU" w:hAnsiTheme="minorHAnsi" w:cstheme="minorHAnsi"/>
                <w:b/>
                <w:bCs/>
              </w:rPr>
              <w:t xml:space="preserve">Principal Reason for Decision </w:t>
            </w:r>
          </w:p>
        </w:tc>
        <w:tc>
          <w:tcPr>
            <w:tcW w:w="7848" w:type="dxa"/>
          </w:tcPr>
          <w:p w:rsidR="00F2494E" w:rsidRPr="00F13B38" w:rsidRDefault="00C90F2A" w:rsidP="00B763FB">
            <w:pPr>
              <w:pStyle w:val="NoSpacing"/>
              <w:rPr>
                <w:rFonts w:asciiTheme="minorHAnsi" w:hAnsiTheme="minorHAnsi" w:cstheme="minorHAnsi"/>
              </w:rPr>
            </w:pPr>
            <w:r w:rsidRPr="00F13B38">
              <w:rPr>
                <w:rFonts w:asciiTheme="minorHAnsi" w:hAnsiTheme="minorHAnsi" w:cstheme="minorHAnsi"/>
              </w:rPr>
              <w:t>The option delivers significantly against all of the identified outcomes</w:t>
            </w:r>
            <w:r w:rsidR="007F746D" w:rsidRPr="00F13B38">
              <w:rPr>
                <w:rFonts w:asciiTheme="minorHAnsi" w:hAnsiTheme="minorHAnsi" w:cstheme="minorHAnsi"/>
              </w:rPr>
              <w:t>.</w:t>
            </w:r>
          </w:p>
        </w:tc>
      </w:tr>
    </w:tbl>
    <w:p w:rsidR="00633615" w:rsidRPr="00F13B38" w:rsidRDefault="00633615" w:rsidP="00863E78">
      <w:pPr>
        <w:pStyle w:val="ResiteBPPNormal"/>
        <w:rPr>
          <w:rFonts w:asciiTheme="minorHAnsi" w:hAnsiTheme="minorHAnsi" w:cstheme="minorHAnsi"/>
          <w:sz w:val="22"/>
          <w:szCs w:val="22"/>
        </w:rPr>
      </w:pPr>
    </w:p>
    <w:p w:rsidR="00633615" w:rsidRPr="00F13B38" w:rsidRDefault="00633615">
      <w:pPr>
        <w:spacing w:after="0" w:line="240" w:lineRule="auto"/>
        <w:rPr>
          <w:rFonts w:asciiTheme="minorHAnsi" w:eastAsia="Times New Roman" w:hAnsiTheme="minorHAnsi" w:cstheme="minorHAnsi"/>
          <w:lang w:val="en-US"/>
        </w:rPr>
      </w:pPr>
      <w:r w:rsidRPr="00F13B38">
        <w:rPr>
          <w:rFonts w:asciiTheme="minorHAnsi" w:hAnsiTheme="minorHAnsi" w:cstheme="minorHAnsi"/>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848"/>
      </w:tblGrid>
      <w:tr w:rsidR="00AA568F" w:rsidRPr="00F13B38" w:rsidTr="001A168B">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F374F" w:rsidRPr="00F13B38" w:rsidRDefault="001F374F">
            <w:pPr>
              <w:spacing w:line="240" w:lineRule="auto"/>
              <w:rPr>
                <w:rFonts w:asciiTheme="minorHAnsi" w:hAnsiTheme="minorHAnsi" w:cstheme="minorHAnsi"/>
                <w:b/>
                <w:bCs/>
              </w:rPr>
            </w:pPr>
            <w:r w:rsidRPr="00F13B38">
              <w:rPr>
                <w:rFonts w:asciiTheme="minorHAnsi" w:hAnsiTheme="minorHAnsi" w:cstheme="minorHAnsi"/>
                <w:b/>
                <w:bCs/>
              </w:rPr>
              <w:lastRenderedPageBreak/>
              <w:t>Option 3</w:t>
            </w:r>
          </w:p>
        </w:tc>
        <w:tc>
          <w:tcPr>
            <w:tcW w:w="7848" w:type="dxa"/>
            <w:tcBorders>
              <w:top w:val="single" w:sz="4" w:space="0" w:color="auto"/>
              <w:left w:val="single" w:sz="4" w:space="0" w:color="auto"/>
              <w:bottom w:val="single" w:sz="4" w:space="0" w:color="auto"/>
              <w:right w:val="single" w:sz="4" w:space="0" w:color="auto"/>
            </w:tcBorders>
          </w:tcPr>
          <w:p w:rsidR="001F374F" w:rsidRPr="00F13B38" w:rsidRDefault="00DB27DB" w:rsidP="00DB27DB">
            <w:pPr>
              <w:widowControl w:val="0"/>
              <w:spacing w:after="120" w:line="240" w:lineRule="auto"/>
              <w:rPr>
                <w:rFonts w:asciiTheme="minorHAnsi" w:eastAsia="PMingLiU" w:hAnsiTheme="minorHAnsi" w:cstheme="minorHAnsi"/>
                <w:b/>
              </w:rPr>
            </w:pPr>
            <w:r w:rsidRPr="00F13B38">
              <w:rPr>
                <w:b/>
              </w:rPr>
              <w:t>U</w:t>
            </w:r>
            <w:r w:rsidR="00BE32FE" w:rsidRPr="00F13B38">
              <w:rPr>
                <w:b/>
              </w:rPr>
              <w:t xml:space="preserve">se the Care Centres for the delivery of </w:t>
            </w:r>
            <w:r w:rsidRPr="00F13B38">
              <w:rPr>
                <w:b/>
              </w:rPr>
              <w:t>high dependency dementia nursing care</w:t>
            </w:r>
            <w:r w:rsidR="00BE32FE" w:rsidRPr="00F13B38">
              <w:rPr>
                <w:b/>
              </w:rPr>
              <w:t>, but to be provided by organisations external to the Council</w:t>
            </w:r>
          </w:p>
        </w:tc>
      </w:tr>
      <w:tr w:rsidR="00AA568F" w:rsidRPr="00F13B38" w:rsidTr="003648A8">
        <w:trPr>
          <w:trHeight w:val="3291"/>
        </w:trPr>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F374F" w:rsidRPr="00F13B38" w:rsidRDefault="001F374F">
            <w:pPr>
              <w:spacing w:line="240" w:lineRule="auto"/>
              <w:rPr>
                <w:rFonts w:asciiTheme="minorHAnsi" w:hAnsiTheme="minorHAnsi" w:cstheme="minorHAnsi"/>
                <w:b/>
                <w:bCs/>
              </w:rPr>
            </w:pPr>
            <w:r w:rsidRPr="00F13B38">
              <w:rPr>
                <w:rFonts w:asciiTheme="minorHAnsi" w:hAnsiTheme="minorHAnsi" w:cstheme="minorHAnsi"/>
                <w:b/>
                <w:bCs/>
              </w:rPr>
              <w:t xml:space="preserve">Information Considered </w:t>
            </w:r>
          </w:p>
        </w:tc>
        <w:tc>
          <w:tcPr>
            <w:tcW w:w="7848" w:type="dxa"/>
            <w:tcBorders>
              <w:top w:val="single" w:sz="4" w:space="0" w:color="auto"/>
              <w:left w:val="single" w:sz="4" w:space="0" w:color="auto"/>
              <w:bottom w:val="single" w:sz="4" w:space="0" w:color="auto"/>
              <w:right w:val="single" w:sz="4" w:space="0" w:color="auto"/>
            </w:tcBorders>
            <w:hideMark/>
          </w:tcPr>
          <w:p w:rsidR="00BE32FE" w:rsidRPr="00F13B38" w:rsidRDefault="00BE32FE" w:rsidP="003648A8">
            <w:pPr>
              <w:pStyle w:val="NoSpacing"/>
              <w:rPr>
                <w:b/>
              </w:rPr>
            </w:pPr>
            <w:r w:rsidRPr="00F13B38">
              <w:rPr>
                <w:rFonts w:asciiTheme="minorHAnsi" w:hAnsiTheme="minorHAnsi" w:cstheme="minorHAnsi"/>
              </w:rPr>
              <w:t xml:space="preserve">Under this option the Council would stop delivering residential care at the </w:t>
            </w:r>
            <w:r w:rsidR="004E3154">
              <w:rPr>
                <w:rFonts w:asciiTheme="minorHAnsi" w:hAnsiTheme="minorHAnsi" w:cstheme="minorHAnsi"/>
              </w:rPr>
              <w:t xml:space="preserve">two </w:t>
            </w:r>
            <w:r w:rsidRPr="00F13B38">
              <w:rPr>
                <w:rFonts w:asciiTheme="minorHAnsi" w:hAnsiTheme="minorHAnsi" w:cstheme="minorHAnsi"/>
              </w:rPr>
              <w:t>Care Centres</w:t>
            </w:r>
            <w:r w:rsidR="004E3154">
              <w:rPr>
                <w:rFonts w:asciiTheme="minorHAnsi" w:hAnsiTheme="minorHAnsi" w:cstheme="minorHAnsi"/>
              </w:rPr>
              <w:t xml:space="preserve"> (Norman Power and Perry Tree Centre’s)</w:t>
            </w:r>
            <w:r w:rsidRPr="00F13B38">
              <w:rPr>
                <w:rFonts w:asciiTheme="minorHAnsi" w:hAnsiTheme="minorHAnsi" w:cstheme="minorHAnsi"/>
              </w:rPr>
              <w:t xml:space="preserve">. The Council would </w:t>
            </w:r>
            <w:r w:rsidR="00897E0D" w:rsidRPr="00F13B38">
              <w:rPr>
                <w:rFonts w:asciiTheme="minorHAnsi" w:hAnsiTheme="minorHAnsi" w:cstheme="minorHAnsi"/>
              </w:rPr>
              <w:t xml:space="preserve">lease </w:t>
            </w:r>
            <w:r w:rsidR="00FC0229" w:rsidRPr="00F13B38">
              <w:rPr>
                <w:rFonts w:asciiTheme="minorHAnsi" w:hAnsiTheme="minorHAnsi" w:cstheme="minorHAnsi"/>
              </w:rPr>
              <w:t>the buildings to</w:t>
            </w:r>
            <w:r w:rsidR="00897E0D" w:rsidRPr="00F13B38">
              <w:rPr>
                <w:rFonts w:asciiTheme="minorHAnsi" w:hAnsiTheme="minorHAnsi" w:cstheme="minorHAnsi"/>
              </w:rPr>
              <w:t xml:space="preserve"> alternative provider</w:t>
            </w:r>
            <w:r w:rsidR="00F359D5" w:rsidRPr="00F13B38">
              <w:rPr>
                <w:rFonts w:asciiTheme="minorHAnsi" w:hAnsiTheme="minorHAnsi" w:cstheme="minorHAnsi"/>
              </w:rPr>
              <w:t>s</w:t>
            </w:r>
            <w:r w:rsidR="00897E0D" w:rsidRPr="00F13B38">
              <w:rPr>
                <w:rFonts w:asciiTheme="minorHAnsi" w:hAnsiTheme="minorHAnsi" w:cstheme="minorHAnsi"/>
              </w:rPr>
              <w:t xml:space="preserve"> to deliver</w:t>
            </w:r>
            <w:r w:rsidR="00C90F2A" w:rsidRPr="00F13B38">
              <w:rPr>
                <w:rFonts w:asciiTheme="minorHAnsi" w:hAnsiTheme="minorHAnsi" w:cstheme="minorHAnsi"/>
              </w:rPr>
              <w:t xml:space="preserve"> </w:t>
            </w:r>
            <w:r w:rsidR="00EE139B" w:rsidRPr="00F13B38">
              <w:rPr>
                <w:rFonts w:asciiTheme="minorHAnsi" w:hAnsiTheme="minorHAnsi" w:cstheme="minorHAnsi"/>
              </w:rPr>
              <w:t xml:space="preserve">high dependency dementia nursing care. </w:t>
            </w:r>
            <w:r w:rsidR="00B763FB" w:rsidRPr="00F13B38">
              <w:rPr>
                <w:rFonts w:asciiTheme="minorHAnsi" w:hAnsiTheme="minorHAnsi" w:cstheme="minorHAnsi"/>
              </w:rPr>
              <w:t>People who are currently resident would be given a reassessment of their eligible care and support needs, assistance in planning their future care and support, and to find alternative accommodation. People would be offered alternative accommodation in other residential homes in the City.</w:t>
            </w:r>
          </w:p>
          <w:p w:rsidR="00FC0229" w:rsidRPr="00F13B38" w:rsidRDefault="00D85AE8" w:rsidP="003648A8">
            <w:pPr>
              <w:pStyle w:val="NoSpacing"/>
            </w:pPr>
            <w:r w:rsidRPr="00F13B38">
              <w:t>The Co</w:t>
            </w:r>
            <w:r w:rsidR="00A32F33" w:rsidRPr="00F13B38">
              <w:t xml:space="preserve">uncil has identified a need </w:t>
            </w:r>
            <w:r w:rsidRPr="00F13B38">
              <w:t>f</w:t>
            </w:r>
            <w:r w:rsidR="00A32F33" w:rsidRPr="00F13B38">
              <w:t>or</w:t>
            </w:r>
            <w:r w:rsidRPr="00F13B38">
              <w:t xml:space="preserve"> additional high dependency dementia nursing care</w:t>
            </w:r>
            <w:r w:rsidR="00A32F33" w:rsidRPr="00F13B38">
              <w:t xml:space="preserve"> beds</w:t>
            </w:r>
            <w:r w:rsidR="00B763FB" w:rsidRPr="00F13B38">
              <w:t xml:space="preserve"> across Birmingham</w:t>
            </w:r>
            <w:r w:rsidRPr="00F13B38">
              <w:t>. It has consistently found it hard to find appropriate placement</w:t>
            </w:r>
            <w:r w:rsidR="00A32F33" w:rsidRPr="00F13B38">
              <w:t>s</w:t>
            </w:r>
            <w:r w:rsidRPr="00F13B38">
              <w:t xml:space="preserve"> for people with dementia and challenging behaviour</w:t>
            </w:r>
            <w:r w:rsidR="00A32F33" w:rsidRPr="00F13B38">
              <w:t xml:space="preserve"> in a timely manner, indicating a shortage of this type of provision in the market</w:t>
            </w:r>
            <w:r w:rsidR="00FC0229" w:rsidRPr="00F13B38">
              <w:t>.</w:t>
            </w:r>
            <w:r w:rsidR="004E3154">
              <w:t xml:space="preserve">  This option may support the development of these services.</w:t>
            </w:r>
          </w:p>
          <w:p w:rsidR="00FC0229" w:rsidRDefault="00FC0229" w:rsidP="003648A8">
            <w:pPr>
              <w:pStyle w:val="NoSpacing"/>
            </w:pPr>
          </w:p>
          <w:p w:rsidR="000B36A1" w:rsidRPr="00F13B38" w:rsidRDefault="000B36A1" w:rsidP="000B36A1">
            <w:pPr>
              <w:pStyle w:val="NoSpacing"/>
              <w:rPr>
                <w:rFonts w:asciiTheme="minorHAnsi" w:hAnsiTheme="minorHAnsi" w:cstheme="minorHAnsi"/>
              </w:rPr>
            </w:pPr>
            <w:r>
              <w:rPr>
                <w:rFonts w:asciiTheme="minorHAnsi" w:hAnsiTheme="minorHAnsi" w:cstheme="minorHAnsi"/>
              </w:rPr>
              <w:t>Under this option the ownership of the Care Centre buildings would be retained by the Council and the buildings leased to alternative providers external to the Council.</w:t>
            </w:r>
          </w:p>
          <w:p w:rsidR="000B36A1" w:rsidRPr="00F13B38" w:rsidRDefault="000B36A1" w:rsidP="003648A8">
            <w:pPr>
              <w:pStyle w:val="NoSpacing"/>
            </w:pPr>
          </w:p>
          <w:p w:rsidR="00A033FD" w:rsidRPr="00F13B38" w:rsidRDefault="00761D05" w:rsidP="003648A8">
            <w:pPr>
              <w:pStyle w:val="NoSpacing"/>
              <w:rPr>
                <w:b/>
              </w:rPr>
            </w:pPr>
            <w:r w:rsidRPr="00F13B38">
              <w:t>B</w:t>
            </w:r>
            <w:r w:rsidR="000A3B89" w:rsidRPr="00F13B38">
              <w:t>y using the Care Centres solely for</w:t>
            </w:r>
            <w:r w:rsidR="00462A26" w:rsidRPr="00F13B38">
              <w:t xml:space="preserve"> high dependency dementia</w:t>
            </w:r>
            <w:r w:rsidR="000A3B89" w:rsidRPr="00F13B38">
              <w:t xml:space="preserve"> nursing care</w:t>
            </w:r>
            <w:r w:rsidR="00BB2314" w:rsidRPr="00F13B38">
              <w:t xml:space="preserve">, the Council </w:t>
            </w:r>
            <w:r w:rsidR="00B763FB" w:rsidRPr="00F13B38">
              <w:t xml:space="preserve">could </w:t>
            </w:r>
            <w:r w:rsidR="00BB2314" w:rsidRPr="00F13B38">
              <w:t>create additional capacity, to deliver the type of care placements it requires</w:t>
            </w:r>
            <w:r w:rsidR="00462A26" w:rsidRPr="00F13B38">
              <w:rPr>
                <w:b/>
              </w:rPr>
              <w:t>.</w:t>
            </w:r>
          </w:p>
          <w:p w:rsidR="00761D05" w:rsidRDefault="00761D05" w:rsidP="003648A8">
            <w:pPr>
              <w:pStyle w:val="NoSpacing"/>
              <w:rPr>
                <w:b/>
              </w:rPr>
            </w:pPr>
          </w:p>
          <w:p w:rsidR="00EA1732" w:rsidRDefault="00EA1732" w:rsidP="00EA1732">
            <w:pPr>
              <w:pStyle w:val="NoSpacing"/>
              <w:rPr>
                <w:rFonts w:asciiTheme="minorHAnsi" w:hAnsiTheme="minorHAnsi" w:cstheme="minorHAnsi"/>
              </w:rPr>
            </w:pPr>
            <w:r>
              <w:rPr>
                <w:rFonts w:asciiTheme="minorHAnsi" w:hAnsiTheme="minorHAnsi" w:cstheme="minorHAnsi"/>
              </w:rPr>
              <w:t xml:space="preserve">The Council intends to consult first with services users and other stakeholders of Norman Power Centre between August and November 2016, due to the underutilised capacity since the Birmingham Community Healthcare NHS Trust ceased using 32 beds. </w:t>
            </w:r>
          </w:p>
          <w:p w:rsidR="00EA1732" w:rsidRDefault="00EA1732" w:rsidP="00EA1732">
            <w:pPr>
              <w:pStyle w:val="NoSpacing"/>
              <w:rPr>
                <w:rFonts w:asciiTheme="minorHAnsi" w:hAnsiTheme="minorHAnsi" w:cstheme="minorHAnsi"/>
              </w:rPr>
            </w:pPr>
          </w:p>
          <w:p w:rsidR="00EA1732" w:rsidRDefault="00EA1732" w:rsidP="00EA1732">
            <w:pPr>
              <w:pStyle w:val="NoSpacing"/>
              <w:rPr>
                <w:rFonts w:asciiTheme="minorHAnsi" w:hAnsiTheme="minorHAnsi" w:cstheme="minorHAnsi"/>
              </w:rPr>
            </w:pPr>
            <w:r>
              <w:rPr>
                <w:rFonts w:asciiTheme="minorHAnsi" w:hAnsiTheme="minorHAnsi" w:cstheme="minorHAnsi"/>
              </w:rPr>
              <w:t>Depending on the outcome of this consultation the Council will pause for a period of reflection, before commencing further consultation with the service users and stakeholders of Perry Tree Centre in February 2017.</w:t>
            </w:r>
          </w:p>
          <w:p w:rsidR="00EF66D0" w:rsidRPr="00F13B38" w:rsidRDefault="00EF66D0" w:rsidP="003648A8">
            <w:pPr>
              <w:pStyle w:val="NoSpacing"/>
              <w:rPr>
                <w:b/>
              </w:rPr>
            </w:pPr>
          </w:p>
          <w:p w:rsidR="003648A8" w:rsidRPr="00F13B38" w:rsidRDefault="003648A8" w:rsidP="003648A8">
            <w:pPr>
              <w:pStyle w:val="NoSpacing"/>
              <w:rPr>
                <w:b/>
              </w:rPr>
            </w:pPr>
            <w:r w:rsidRPr="00F13B38">
              <w:rPr>
                <w:b/>
              </w:rPr>
              <w:t>Finance</w:t>
            </w:r>
          </w:p>
          <w:p w:rsidR="00EE139B" w:rsidRPr="00F13B38" w:rsidRDefault="00EE139B" w:rsidP="00EE139B">
            <w:pPr>
              <w:pStyle w:val="NoSpacing"/>
              <w:numPr>
                <w:ilvl w:val="0"/>
                <w:numId w:val="16"/>
              </w:numPr>
              <w:rPr>
                <w:rFonts w:asciiTheme="minorHAnsi" w:hAnsiTheme="minorHAnsi" w:cstheme="minorHAnsi"/>
              </w:rPr>
            </w:pPr>
            <w:r w:rsidRPr="00F13B38">
              <w:rPr>
                <w:rFonts w:asciiTheme="minorHAnsi" w:hAnsiTheme="minorHAnsi" w:cstheme="minorHAnsi"/>
              </w:rPr>
              <w:t>The Council can purchase residential and nursing care at a more advantageous rate than it can deliver itself. This will deliver operational savings.</w:t>
            </w:r>
          </w:p>
          <w:p w:rsidR="003648A8" w:rsidRPr="00F13B38" w:rsidRDefault="00A033FD" w:rsidP="003648A8">
            <w:pPr>
              <w:pStyle w:val="NoSpacing"/>
              <w:numPr>
                <w:ilvl w:val="0"/>
                <w:numId w:val="16"/>
              </w:numPr>
            </w:pPr>
            <w:r w:rsidRPr="00F13B38">
              <w:rPr>
                <w:rFonts w:asciiTheme="minorHAnsi" w:hAnsiTheme="minorHAnsi" w:cstheme="minorHAnsi"/>
              </w:rPr>
              <w:t>The net operational saving to the Council of the implementation of this proposal is detailed in the table below</w:t>
            </w:r>
            <w:r w:rsidR="003648A8" w:rsidRPr="00F13B38">
              <w:t>:</w:t>
            </w:r>
          </w:p>
          <w:p w:rsidR="00EE139B" w:rsidRPr="00F13B38" w:rsidRDefault="00EE139B" w:rsidP="00EE139B">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1541"/>
              <w:gridCol w:w="1541"/>
              <w:gridCol w:w="1541"/>
              <w:gridCol w:w="1541"/>
            </w:tblGrid>
            <w:tr w:rsidR="00AA568F" w:rsidRPr="00F13B38" w:rsidTr="00F44B2F">
              <w:tc>
                <w:tcPr>
                  <w:tcW w:w="1541" w:type="dxa"/>
                  <w:shd w:val="clear" w:color="auto" w:fill="auto"/>
                </w:tcPr>
                <w:p w:rsidR="003648A8" w:rsidRPr="00F13B38" w:rsidRDefault="003648A8" w:rsidP="00F44B2F">
                  <w:pPr>
                    <w:pStyle w:val="NoSpacing"/>
                    <w:jc w:val="center"/>
                  </w:pPr>
                  <w:r w:rsidRPr="00F13B38">
                    <w:t>2016/17</w:t>
                  </w:r>
                </w:p>
                <w:p w:rsidR="003648A8" w:rsidRPr="00F13B38" w:rsidRDefault="003648A8" w:rsidP="00F44B2F">
                  <w:pPr>
                    <w:pStyle w:val="NoSpacing"/>
                    <w:jc w:val="center"/>
                  </w:pPr>
                  <w:r w:rsidRPr="00F13B38">
                    <w:t>£000</w:t>
                  </w:r>
                </w:p>
              </w:tc>
              <w:tc>
                <w:tcPr>
                  <w:tcW w:w="1541" w:type="dxa"/>
                  <w:shd w:val="clear" w:color="auto" w:fill="auto"/>
                </w:tcPr>
                <w:p w:rsidR="003648A8" w:rsidRPr="00F13B38" w:rsidRDefault="003648A8" w:rsidP="00F44B2F">
                  <w:pPr>
                    <w:pStyle w:val="NoSpacing"/>
                    <w:jc w:val="center"/>
                  </w:pPr>
                  <w:r w:rsidRPr="00F13B38">
                    <w:t>2017/18</w:t>
                  </w:r>
                </w:p>
                <w:p w:rsidR="003648A8" w:rsidRPr="00F13B38" w:rsidRDefault="003648A8" w:rsidP="00F44B2F">
                  <w:pPr>
                    <w:pStyle w:val="NoSpacing"/>
                    <w:jc w:val="center"/>
                  </w:pPr>
                  <w:r w:rsidRPr="00F13B38">
                    <w:t>£000</w:t>
                  </w:r>
                </w:p>
              </w:tc>
              <w:tc>
                <w:tcPr>
                  <w:tcW w:w="1541" w:type="dxa"/>
                  <w:shd w:val="clear" w:color="auto" w:fill="auto"/>
                </w:tcPr>
                <w:p w:rsidR="003648A8" w:rsidRPr="00F13B38" w:rsidRDefault="003648A8" w:rsidP="00F44B2F">
                  <w:pPr>
                    <w:pStyle w:val="NoSpacing"/>
                    <w:jc w:val="center"/>
                  </w:pPr>
                  <w:r w:rsidRPr="00F13B38">
                    <w:t>2018/19</w:t>
                  </w:r>
                </w:p>
                <w:p w:rsidR="003648A8" w:rsidRPr="00F13B38" w:rsidRDefault="003648A8" w:rsidP="00F44B2F">
                  <w:pPr>
                    <w:pStyle w:val="NoSpacing"/>
                    <w:jc w:val="center"/>
                  </w:pPr>
                  <w:r w:rsidRPr="00F13B38">
                    <w:t>£000</w:t>
                  </w:r>
                </w:p>
              </w:tc>
              <w:tc>
                <w:tcPr>
                  <w:tcW w:w="1541" w:type="dxa"/>
                  <w:shd w:val="clear" w:color="auto" w:fill="auto"/>
                </w:tcPr>
                <w:p w:rsidR="003648A8" w:rsidRPr="00F13B38" w:rsidRDefault="003648A8" w:rsidP="00F44B2F">
                  <w:pPr>
                    <w:pStyle w:val="NoSpacing"/>
                    <w:jc w:val="center"/>
                  </w:pPr>
                  <w:r w:rsidRPr="00F13B38">
                    <w:t>2019/20</w:t>
                  </w:r>
                </w:p>
                <w:p w:rsidR="003648A8" w:rsidRPr="00F13B38" w:rsidRDefault="003648A8" w:rsidP="00F44B2F">
                  <w:pPr>
                    <w:pStyle w:val="NoSpacing"/>
                    <w:jc w:val="center"/>
                  </w:pPr>
                  <w:r w:rsidRPr="00F13B38">
                    <w:t>£000</w:t>
                  </w:r>
                </w:p>
              </w:tc>
              <w:tc>
                <w:tcPr>
                  <w:tcW w:w="1541" w:type="dxa"/>
                  <w:shd w:val="clear" w:color="auto" w:fill="auto"/>
                </w:tcPr>
                <w:p w:rsidR="003648A8" w:rsidRPr="00F13B38" w:rsidRDefault="003648A8" w:rsidP="00F44B2F">
                  <w:pPr>
                    <w:pStyle w:val="NoSpacing"/>
                    <w:jc w:val="center"/>
                  </w:pPr>
                  <w:r w:rsidRPr="00F13B38">
                    <w:t>2020/21</w:t>
                  </w:r>
                </w:p>
                <w:p w:rsidR="003648A8" w:rsidRPr="00F13B38" w:rsidRDefault="003648A8" w:rsidP="00F44B2F">
                  <w:pPr>
                    <w:pStyle w:val="NoSpacing"/>
                    <w:jc w:val="center"/>
                  </w:pPr>
                  <w:r w:rsidRPr="00F13B38">
                    <w:t>£000</w:t>
                  </w:r>
                </w:p>
              </w:tc>
            </w:tr>
            <w:tr w:rsidR="00AA568F" w:rsidRPr="00F13B38" w:rsidTr="00F44B2F">
              <w:tc>
                <w:tcPr>
                  <w:tcW w:w="1541" w:type="dxa"/>
                  <w:shd w:val="clear" w:color="auto" w:fill="auto"/>
                </w:tcPr>
                <w:p w:rsidR="003648A8" w:rsidRPr="00F13B38" w:rsidRDefault="00FF49D9" w:rsidP="00F44B2F">
                  <w:pPr>
                    <w:pStyle w:val="NoSpacing"/>
                    <w:jc w:val="center"/>
                  </w:pPr>
                  <w:r w:rsidRPr="00F13B38">
                    <w:t>126</w:t>
                  </w:r>
                </w:p>
              </w:tc>
              <w:tc>
                <w:tcPr>
                  <w:tcW w:w="1541" w:type="dxa"/>
                  <w:shd w:val="clear" w:color="auto" w:fill="auto"/>
                </w:tcPr>
                <w:p w:rsidR="003648A8" w:rsidRPr="00F13B38" w:rsidRDefault="00FF49D9" w:rsidP="00F44B2F">
                  <w:pPr>
                    <w:pStyle w:val="NoSpacing"/>
                    <w:jc w:val="center"/>
                  </w:pPr>
                  <w:r w:rsidRPr="00F13B38">
                    <w:t>(562)</w:t>
                  </w:r>
                </w:p>
              </w:tc>
              <w:tc>
                <w:tcPr>
                  <w:tcW w:w="1541" w:type="dxa"/>
                  <w:shd w:val="clear" w:color="auto" w:fill="auto"/>
                </w:tcPr>
                <w:p w:rsidR="003648A8" w:rsidRPr="00F13B38" w:rsidRDefault="00FF49D9" w:rsidP="00F44B2F">
                  <w:pPr>
                    <w:pStyle w:val="NoSpacing"/>
                    <w:jc w:val="center"/>
                  </w:pPr>
                  <w:r w:rsidRPr="00F13B38">
                    <w:t>(647)</w:t>
                  </w:r>
                </w:p>
              </w:tc>
              <w:tc>
                <w:tcPr>
                  <w:tcW w:w="1541" w:type="dxa"/>
                  <w:shd w:val="clear" w:color="auto" w:fill="auto"/>
                </w:tcPr>
                <w:p w:rsidR="003648A8" w:rsidRPr="00F13B38" w:rsidRDefault="00FF49D9" w:rsidP="00F44B2F">
                  <w:pPr>
                    <w:pStyle w:val="NoSpacing"/>
                    <w:jc w:val="center"/>
                  </w:pPr>
                  <w:r w:rsidRPr="00F13B38">
                    <w:t>(735)</w:t>
                  </w:r>
                </w:p>
              </w:tc>
              <w:tc>
                <w:tcPr>
                  <w:tcW w:w="1541" w:type="dxa"/>
                  <w:shd w:val="clear" w:color="auto" w:fill="auto"/>
                </w:tcPr>
                <w:p w:rsidR="003648A8" w:rsidRPr="00F13B38" w:rsidRDefault="00FF49D9" w:rsidP="00F44B2F">
                  <w:pPr>
                    <w:pStyle w:val="NoSpacing"/>
                    <w:jc w:val="center"/>
                  </w:pPr>
                  <w:r w:rsidRPr="00F13B38">
                    <w:t>(823)</w:t>
                  </w:r>
                </w:p>
              </w:tc>
            </w:tr>
          </w:tbl>
          <w:p w:rsidR="003648A8" w:rsidRPr="00F13B38" w:rsidRDefault="003648A8" w:rsidP="00F501C8">
            <w:pPr>
              <w:rPr>
                <w:rFonts w:asciiTheme="minorHAnsi" w:eastAsia="PMingLiU" w:hAnsiTheme="minorHAnsi" w:cstheme="minorHAnsi"/>
              </w:rPr>
            </w:pPr>
          </w:p>
          <w:p w:rsidR="00EE139B" w:rsidRPr="000B36A1" w:rsidRDefault="00EE139B" w:rsidP="000B36A1">
            <w:pPr>
              <w:spacing w:line="240" w:lineRule="auto"/>
              <w:rPr>
                <w:rFonts w:asciiTheme="minorHAnsi" w:eastAsia="PMingLiU" w:hAnsiTheme="minorHAnsi" w:cstheme="minorHAnsi"/>
              </w:rPr>
            </w:pPr>
          </w:p>
        </w:tc>
      </w:tr>
      <w:tr w:rsidR="00AA568F" w:rsidRPr="00F13B38" w:rsidTr="001A168B">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1F374F" w:rsidRPr="00F13B38" w:rsidRDefault="00897E0D">
            <w:pPr>
              <w:spacing w:line="240" w:lineRule="auto"/>
              <w:rPr>
                <w:rFonts w:asciiTheme="minorHAnsi" w:hAnsiTheme="minorHAnsi" w:cstheme="minorHAnsi"/>
                <w:b/>
                <w:bCs/>
              </w:rPr>
            </w:pPr>
            <w:r w:rsidRPr="00F13B38">
              <w:rPr>
                <w:rFonts w:asciiTheme="minorHAnsi" w:hAnsiTheme="minorHAnsi" w:cstheme="minorHAnsi"/>
                <w:b/>
                <w:bCs/>
              </w:rPr>
              <w:t>Assessment</w:t>
            </w:r>
            <w:r w:rsidR="001F374F" w:rsidRPr="00F13B38">
              <w:rPr>
                <w:rFonts w:asciiTheme="minorHAnsi" w:hAnsiTheme="minorHAnsi" w:cstheme="minorHAnsi"/>
                <w:b/>
                <w:bCs/>
              </w:rPr>
              <w:t xml:space="preserve"> of Option </w:t>
            </w:r>
          </w:p>
        </w:tc>
        <w:tc>
          <w:tcPr>
            <w:tcW w:w="7848" w:type="dxa"/>
            <w:tcBorders>
              <w:top w:val="single" w:sz="4" w:space="0" w:color="auto"/>
              <w:left w:val="single" w:sz="4" w:space="0" w:color="auto"/>
              <w:bottom w:val="single" w:sz="4" w:space="0" w:color="auto"/>
              <w:right w:val="single" w:sz="4" w:space="0" w:color="auto"/>
            </w:tcBorders>
          </w:tcPr>
          <w:p w:rsidR="00A16E73" w:rsidRPr="00F13B38" w:rsidRDefault="00A16E73" w:rsidP="00A16E73">
            <w:pPr>
              <w:pStyle w:val="NoSpacing"/>
              <w:rPr>
                <w:b/>
              </w:rPr>
            </w:pPr>
            <w:r w:rsidRPr="00F13B38">
              <w:rPr>
                <w:b/>
              </w:rPr>
              <w:t>Delivery of identified outcomes:</w:t>
            </w:r>
          </w:p>
          <w:p w:rsidR="00897E0D" w:rsidRPr="00F13B38" w:rsidRDefault="00897E0D" w:rsidP="00897E0D">
            <w:pPr>
              <w:pStyle w:val="NoSpacing"/>
              <w:rPr>
                <w:b/>
              </w:rPr>
            </w:pPr>
          </w:p>
          <w:p w:rsidR="00897E0D" w:rsidRPr="00F13B38" w:rsidRDefault="00897E0D" w:rsidP="00897E0D">
            <w:pPr>
              <w:pStyle w:val="NoSpacing"/>
              <w:rPr>
                <w:b/>
              </w:rPr>
            </w:pPr>
            <w:r w:rsidRPr="00F13B38">
              <w:rPr>
                <w:b/>
              </w:rPr>
              <w:t>Pros</w:t>
            </w:r>
          </w:p>
          <w:p w:rsidR="00B763FB" w:rsidRPr="00F13B38" w:rsidRDefault="00B763FB" w:rsidP="00B763FB">
            <w:pPr>
              <w:pStyle w:val="NoSpacing"/>
              <w:numPr>
                <w:ilvl w:val="0"/>
                <w:numId w:val="40"/>
              </w:numPr>
            </w:pPr>
            <w:r w:rsidRPr="00F13B38">
              <w:t>This option takes advantage of opportunities to deliver improved outcomes</w:t>
            </w:r>
            <w:r w:rsidR="00E469B7">
              <w:t xml:space="preserve"> for service users </w:t>
            </w:r>
            <w:r w:rsidRPr="00F13B38">
              <w:t>through partnership working or integration of health and social care.</w:t>
            </w:r>
          </w:p>
          <w:p w:rsidR="00897E0D" w:rsidRPr="00F13B38" w:rsidRDefault="00897E0D" w:rsidP="00897E0D">
            <w:pPr>
              <w:pStyle w:val="NoSpacing"/>
              <w:numPr>
                <w:ilvl w:val="0"/>
                <w:numId w:val="40"/>
              </w:numPr>
            </w:pPr>
            <w:r w:rsidRPr="00F13B38">
              <w:t>This option delivers</w:t>
            </w:r>
            <w:r w:rsidR="00993357">
              <w:t xml:space="preserve"> some of</w:t>
            </w:r>
            <w:r w:rsidRPr="00F13B38">
              <w:t xml:space="preserve"> the financial savings detailed in the Council Business Plan and Budget 2016+.</w:t>
            </w:r>
          </w:p>
          <w:p w:rsidR="00897E0D" w:rsidRPr="00F13B38" w:rsidRDefault="00897E0D" w:rsidP="00897E0D">
            <w:pPr>
              <w:pStyle w:val="NoSpacing"/>
              <w:numPr>
                <w:ilvl w:val="0"/>
                <w:numId w:val="40"/>
              </w:numPr>
            </w:pPr>
            <w:r w:rsidRPr="00F13B38">
              <w:t>This option contributes to the reduction in the Council’s overall workforce.</w:t>
            </w:r>
          </w:p>
          <w:p w:rsidR="00897E0D" w:rsidRPr="00F13B38" w:rsidRDefault="00897E0D" w:rsidP="00897E0D">
            <w:pPr>
              <w:pStyle w:val="NoSpacing"/>
            </w:pPr>
          </w:p>
          <w:p w:rsidR="00897E0D" w:rsidRPr="00F13B38" w:rsidRDefault="00897E0D" w:rsidP="00897E0D">
            <w:pPr>
              <w:pStyle w:val="NoSpacing"/>
              <w:rPr>
                <w:b/>
              </w:rPr>
            </w:pPr>
            <w:r w:rsidRPr="00F13B38">
              <w:rPr>
                <w:b/>
              </w:rPr>
              <w:lastRenderedPageBreak/>
              <w:t>Cons</w:t>
            </w:r>
          </w:p>
          <w:p w:rsidR="00B763FB" w:rsidRPr="00F13B38" w:rsidRDefault="00B763FB" w:rsidP="00B763FB">
            <w:pPr>
              <w:pStyle w:val="ListParagraph"/>
              <w:numPr>
                <w:ilvl w:val="0"/>
                <w:numId w:val="40"/>
              </w:numPr>
              <w:spacing w:line="240" w:lineRule="auto"/>
              <w:rPr>
                <w:rFonts w:asciiTheme="minorHAnsi" w:hAnsiTheme="minorHAnsi" w:cstheme="minorHAnsi"/>
              </w:rPr>
            </w:pPr>
            <w:r w:rsidRPr="00F13B38">
              <w:rPr>
                <w:rFonts w:asciiTheme="minorHAnsi" w:hAnsiTheme="minorHAnsi" w:cstheme="minorHAnsi"/>
                <w:sz w:val="22"/>
                <w:szCs w:val="22"/>
              </w:rPr>
              <w:t xml:space="preserve">Under this option, </w:t>
            </w:r>
            <w:r w:rsidR="00EA1732">
              <w:rPr>
                <w:rFonts w:asciiTheme="minorHAnsi" w:hAnsiTheme="minorHAnsi" w:cstheme="minorHAnsi"/>
                <w:sz w:val="22"/>
                <w:szCs w:val="22"/>
              </w:rPr>
              <w:t xml:space="preserve">a large proportion of </w:t>
            </w:r>
            <w:r w:rsidRPr="00F13B38">
              <w:rPr>
                <w:rFonts w:asciiTheme="minorHAnsi" w:hAnsiTheme="minorHAnsi" w:cstheme="minorHAnsi"/>
                <w:sz w:val="22"/>
                <w:szCs w:val="22"/>
              </w:rPr>
              <w:t>current residents would have to move into alternative accommodation</w:t>
            </w:r>
            <w:r w:rsidR="00D73D22">
              <w:rPr>
                <w:rFonts w:asciiTheme="minorHAnsi" w:hAnsiTheme="minorHAnsi" w:cstheme="minorHAnsi"/>
                <w:sz w:val="22"/>
                <w:szCs w:val="22"/>
              </w:rPr>
              <w:t xml:space="preserve"> as they do</w:t>
            </w:r>
            <w:r w:rsidR="00BA4064">
              <w:rPr>
                <w:rFonts w:asciiTheme="minorHAnsi" w:hAnsiTheme="minorHAnsi" w:cstheme="minorHAnsi"/>
                <w:sz w:val="22"/>
                <w:szCs w:val="22"/>
              </w:rPr>
              <w:t xml:space="preserve"> </w:t>
            </w:r>
            <w:r w:rsidR="00D73D22">
              <w:rPr>
                <w:rFonts w:asciiTheme="minorHAnsi" w:hAnsiTheme="minorHAnsi" w:cstheme="minorHAnsi"/>
                <w:sz w:val="22"/>
                <w:szCs w:val="22"/>
              </w:rPr>
              <w:t>n</w:t>
            </w:r>
            <w:r w:rsidR="00BA4064">
              <w:rPr>
                <w:rFonts w:asciiTheme="minorHAnsi" w:hAnsiTheme="minorHAnsi" w:cstheme="minorHAnsi"/>
                <w:sz w:val="22"/>
                <w:szCs w:val="22"/>
              </w:rPr>
              <w:t>o</w:t>
            </w:r>
            <w:r w:rsidR="00D73D22">
              <w:rPr>
                <w:rFonts w:asciiTheme="minorHAnsi" w:hAnsiTheme="minorHAnsi" w:cstheme="minorHAnsi"/>
                <w:sz w:val="22"/>
                <w:szCs w:val="22"/>
              </w:rPr>
              <w:t>t require high dependency dementia nursing care</w:t>
            </w:r>
            <w:r w:rsidRPr="00F13B38">
              <w:rPr>
                <w:rFonts w:asciiTheme="minorHAnsi" w:hAnsiTheme="minorHAnsi" w:cstheme="minorHAnsi"/>
                <w:sz w:val="22"/>
                <w:szCs w:val="22"/>
              </w:rPr>
              <w:t>. This may be difficult for residents and families.</w:t>
            </w:r>
          </w:p>
          <w:p w:rsidR="00897E0D" w:rsidRPr="00F13B38" w:rsidRDefault="00897E0D" w:rsidP="009B27DF">
            <w:pPr>
              <w:pStyle w:val="ListParagraph"/>
              <w:spacing w:line="240" w:lineRule="auto"/>
              <w:ind w:left="360"/>
              <w:rPr>
                <w:rFonts w:asciiTheme="minorHAnsi" w:eastAsia="PMingLiU" w:hAnsiTheme="minorHAnsi" w:cstheme="minorHAnsi"/>
                <w:iCs/>
              </w:rPr>
            </w:pPr>
          </w:p>
          <w:p w:rsidR="00897E0D" w:rsidRPr="00F13B38" w:rsidRDefault="00897E0D" w:rsidP="00897E0D">
            <w:pPr>
              <w:rPr>
                <w:rFonts w:asciiTheme="minorHAnsi" w:hAnsiTheme="minorHAnsi" w:cstheme="minorHAnsi"/>
                <w:b/>
              </w:rPr>
            </w:pPr>
            <w:r w:rsidRPr="00F13B38">
              <w:rPr>
                <w:rFonts w:asciiTheme="minorHAnsi" w:hAnsiTheme="minorHAnsi" w:cstheme="minorHAnsi"/>
                <w:b/>
              </w:rPr>
              <w:t>Additional considerations</w:t>
            </w:r>
          </w:p>
          <w:p w:rsidR="00897E0D" w:rsidRPr="00F13B38" w:rsidRDefault="00897E0D" w:rsidP="00897E0D">
            <w:pPr>
              <w:pStyle w:val="NoSpacing"/>
              <w:numPr>
                <w:ilvl w:val="0"/>
                <w:numId w:val="40"/>
              </w:numPr>
              <w:rPr>
                <w:rFonts w:asciiTheme="minorHAnsi" w:hAnsiTheme="minorHAnsi" w:cstheme="minorHAnsi"/>
              </w:rPr>
            </w:pPr>
            <w:r w:rsidRPr="00F13B38">
              <w:rPr>
                <w:rFonts w:asciiTheme="minorHAnsi" w:hAnsiTheme="minorHAnsi" w:cstheme="minorHAnsi"/>
              </w:rPr>
              <w:t>The continued use of the buildings to perform a key role in the delivery of care and support in the City would be secured in the short / medium term.</w:t>
            </w:r>
          </w:p>
          <w:p w:rsidR="00897E0D" w:rsidRPr="00F13B38" w:rsidRDefault="00897E0D" w:rsidP="00897E0D">
            <w:pPr>
              <w:pStyle w:val="NoSpacing"/>
              <w:numPr>
                <w:ilvl w:val="0"/>
                <w:numId w:val="40"/>
              </w:numPr>
              <w:rPr>
                <w:rFonts w:asciiTheme="minorHAnsi" w:hAnsiTheme="minorHAnsi" w:cstheme="minorHAnsi"/>
                <w:b/>
              </w:rPr>
            </w:pPr>
            <w:r w:rsidRPr="00F13B38">
              <w:rPr>
                <w:rFonts w:asciiTheme="minorHAnsi" w:hAnsiTheme="minorHAnsi" w:cstheme="minorHAnsi"/>
              </w:rPr>
              <w:t>The buildings were built to a high specification and would be used to deliver services to people with complex support needs, as originally intended.</w:t>
            </w:r>
          </w:p>
          <w:p w:rsidR="00897E0D" w:rsidRDefault="00B763FB" w:rsidP="003648A8">
            <w:pPr>
              <w:pStyle w:val="NoSpacing"/>
              <w:rPr>
                <w:rFonts w:asciiTheme="minorHAnsi" w:hAnsiTheme="minorHAnsi" w:cstheme="minorHAnsi"/>
              </w:rPr>
            </w:pPr>
            <w:r w:rsidRPr="00B94AB4">
              <w:rPr>
                <w:rFonts w:asciiTheme="minorHAnsi" w:hAnsiTheme="minorHAnsi" w:cstheme="minorHAnsi"/>
              </w:rPr>
              <w:t>Many of the residents in the Care Centres have dementia</w:t>
            </w:r>
            <w:r w:rsidR="00D73D22">
              <w:rPr>
                <w:rFonts w:asciiTheme="minorHAnsi" w:hAnsiTheme="minorHAnsi" w:cstheme="minorHAnsi"/>
              </w:rPr>
              <w:t>, albeit not necessarily the high dependency dementia nursing care considered under this option</w:t>
            </w:r>
            <w:r w:rsidRPr="00B94AB4">
              <w:rPr>
                <w:rFonts w:asciiTheme="minorHAnsi" w:hAnsiTheme="minorHAnsi" w:cstheme="minorHAnsi"/>
              </w:rPr>
              <w:t xml:space="preserve">. There is a risk that moving to alternative accommodation will not be beneficial and may impact on the life expectancy of some residents. </w:t>
            </w:r>
            <w:r w:rsidRPr="00F13B38">
              <w:rPr>
                <w:rFonts w:asciiTheme="minorHAnsi" w:hAnsiTheme="minorHAnsi" w:cstheme="minorHAnsi"/>
              </w:rPr>
              <w:t>The proposed future provision represents a significant change from what is provided currently by Birmingham City Council and as a result TUPE may not apply to those staff currently working in the four Care Centres.</w:t>
            </w:r>
          </w:p>
          <w:p w:rsidR="00B94AB4" w:rsidRDefault="00B94AB4" w:rsidP="003648A8">
            <w:pPr>
              <w:pStyle w:val="NoSpacing"/>
              <w:rPr>
                <w:rFonts w:asciiTheme="minorHAnsi" w:hAnsiTheme="minorHAnsi" w:cstheme="minorHAnsi"/>
              </w:rPr>
            </w:pPr>
          </w:p>
          <w:p w:rsidR="00B94AB4" w:rsidRPr="001C4923" w:rsidRDefault="00B94AB4" w:rsidP="00B94AB4">
            <w:pPr>
              <w:pStyle w:val="ListParagraph"/>
              <w:numPr>
                <w:ilvl w:val="0"/>
                <w:numId w:val="40"/>
              </w:numPr>
              <w:spacing w:line="240" w:lineRule="auto"/>
              <w:rPr>
                <w:rFonts w:asciiTheme="minorHAnsi" w:eastAsia="PMingLiU" w:hAnsiTheme="minorHAnsi" w:cstheme="minorHAnsi"/>
                <w:iCs/>
                <w:sz w:val="22"/>
                <w:szCs w:val="22"/>
              </w:rPr>
            </w:pPr>
            <w:r>
              <w:rPr>
                <w:rFonts w:asciiTheme="minorHAnsi" w:hAnsiTheme="minorHAnsi" w:cstheme="minorHAnsi"/>
                <w:sz w:val="22"/>
                <w:szCs w:val="22"/>
              </w:rPr>
              <w:t>Where a link to a role previously provided by Birmingham City Council can be shown TUPE may apply and a detailed analysis of current workforce will be required to ensure it cannot be claimed that there has been a transfer of business and/ or services</w:t>
            </w:r>
          </w:p>
          <w:p w:rsidR="00B94AB4" w:rsidRPr="00F13B38" w:rsidRDefault="00B94AB4" w:rsidP="003648A8">
            <w:pPr>
              <w:pStyle w:val="NoSpacing"/>
              <w:rPr>
                <w:b/>
              </w:rPr>
            </w:pPr>
          </w:p>
          <w:p w:rsidR="00633615" w:rsidRPr="00F13B38" w:rsidRDefault="00633615" w:rsidP="00897E0D">
            <w:pPr>
              <w:spacing w:after="0" w:line="240" w:lineRule="auto"/>
              <w:rPr>
                <w:rFonts w:asciiTheme="minorHAnsi" w:eastAsia="PMingLiU" w:hAnsiTheme="minorHAnsi" w:cstheme="minorHAnsi"/>
                <w:iCs/>
              </w:rPr>
            </w:pPr>
          </w:p>
        </w:tc>
      </w:tr>
      <w:tr w:rsidR="00AA568F" w:rsidRPr="00F13B38" w:rsidTr="001A168B">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57AF3" w:rsidRPr="00F13B38" w:rsidRDefault="00A57AF3" w:rsidP="00D51B3C">
            <w:pPr>
              <w:spacing w:line="240" w:lineRule="auto"/>
              <w:rPr>
                <w:rFonts w:asciiTheme="minorHAnsi" w:hAnsiTheme="minorHAnsi" w:cstheme="minorHAnsi"/>
                <w:b/>
                <w:bCs/>
              </w:rPr>
            </w:pPr>
            <w:r w:rsidRPr="00F13B38">
              <w:rPr>
                <w:rFonts w:asciiTheme="minorHAnsi" w:hAnsiTheme="minorHAnsi" w:cstheme="minorHAnsi"/>
                <w:b/>
                <w:bCs/>
              </w:rPr>
              <w:lastRenderedPageBreak/>
              <w:t>St</w:t>
            </w:r>
            <w:r w:rsidR="00C832D1" w:rsidRPr="00F13B38">
              <w:rPr>
                <w:rFonts w:asciiTheme="minorHAnsi" w:hAnsiTheme="minorHAnsi" w:cstheme="minorHAnsi"/>
                <w:b/>
                <w:bCs/>
              </w:rPr>
              <w:t>akeholders engaged</w:t>
            </w:r>
          </w:p>
        </w:tc>
        <w:tc>
          <w:tcPr>
            <w:tcW w:w="7848" w:type="dxa"/>
            <w:tcBorders>
              <w:top w:val="single" w:sz="4" w:space="0" w:color="auto"/>
              <w:left w:val="single" w:sz="4" w:space="0" w:color="auto"/>
              <w:bottom w:val="single" w:sz="4" w:space="0" w:color="auto"/>
              <w:right w:val="single" w:sz="4" w:space="0" w:color="auto"/>
            </w:tcBorders>
          </w:tcPr>
          <w:p w:rsidR="00A57AF3" w:rsidRPr="00F13B38" w:rsidRDefault="00A57AF3" w:rsidP="00F44B2F">
            <w:pPr>
              <w:pStyle w:val="ListParagraph"/>
              <w:spacing w:line="240" w:lineRule="auto"/>
              <w:ind w:left="0"/>
              <w:rPr>
                <w:rFonts w:asciiTheme="minorHAnsi" w:hAnsiTheme="minorHAnsi" w:cstheme="minorHAnsi"/>
                <w:b/>
                <w:bCs/>
                <w:sz w:val="22"/>
                <w:szCs w:val="22"/>
              </w:rPr>
            </w:pPr>
            <w:r w:rsidRPr="00F13B38">
              <w:rPr>
                <w:rFonts w:asciiTheme="minorHAnsi" w:hAnsiTheme="minorHAnsi" w:cstheme="minorHAnsi"/>
                <w:bCs/>
                <w:sz w:val="22"/>
                <w:szCs w:val="22"/>
              </w:rPr>
              <w:t>A range of internal stakeholders have been consulted.  Permission is sought to consult, to enable a wider range of external stakeholders to be consulted, including service users, staff and the provider market.</w:t>
            </w:r>
          </w:p>
        </w:tc>
      </w:tr>
      <w:tr w:rsidR="00AA568F" w:rsidRPr="00F13B38" w:rsidTr="001A168B">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57AF3" w:rsidRPr="00F13B38" w:rsidRDefault="00A57AF3" w:rsidP="00D51B3C">
            <w:pPr>
              <w:spacing w:line="240" w:lineRule="auto"/>
              <w:rPr>
                <w:rFonts w:asciiTheme="minorHAnsi" w:hAnsiTheme="minorHAnsi" w:cstheme="minorHAnsi"/>
                <w:b/>
                <w:bCs/>
              </w:rPr>
            </w:pPr>
            <w:r w:rsidRPr="00F13B38">
              <w:rPr>
                <w:rFonts w:asciiTheme="minorHAnsi" w:hAnsiTheme="minorHAnsi" w:cstheme="minorHAnsi"/>
                <w:b/>
                <w:bCs/>
              </w:rPr>
              <w:t xml:space="preserve">Recommendation </w:t>
            </w:r>
          </w:p>
        </w:tc>
        <w:tc>
          <w:tcPr>
            <w:tcW w:w="7848" w:type="dxa"/>
            <w:tcBorders>
              <w:top w:val="single" w:sz="4" w:space="0" w:color="auto"/>
              <w:left w:val="single" w:sz="4" w:space="0" w:color="auto"/>
              <w:bottom w:val="single" w:sz="4" w:space="0" w:color="auto"/>
              <w:right w:val="single" w:sz="4" w:space="0" w:color="auto"/>
            </w:tcBorders>
          </w:tcPr>
          <w:p w:rsidR="00A57AF3" w:rsidRPr="00F13B38" w:rsidRDefault="00B763FB" w:rsidP="00897E0D">
            <w:pPr>
              <w:pStyle w:val="NoSpacing"/>
              <w:rPr>
                <w:rFonts w:asciiTheme="minorHAnsi" w:hAnsiTheme="minorHAnsi" w:cstheme="minorHAnsi"/>
              </w:rPr>
            </w:pPr>
            <w:r w:rsidRPr="00F13B38">
              <w:t xml:space="preserve">Following initial analysis by the Council this option is the second </w:t>
            </w:r>
            <w:r w:rsidRPr="00F13B38">
              <w:rPr>
                <w:u w:val="single"/>
              </w:rPr>
              <w:t>preferred</w:t>
            </w:r>
            <w:r w:rsidRPr="00F13B38">
              <w:t xml:space="preserve"> option as part of a stepped programme of change resulting in the eventual exit from all of the Council’s four Care Centres and is subject to consultation. It will allow time for the market to be shaped and for the Council to further manage any risks associated with an exit from service provision.</w:t>
            </w:r>
          </w:p>
        </w:tc>
      </w:tr>
      <w:tr w:rsidR="00AA568F" w:rsidRPr="00F13B38" w:rsidTr="001A168B">
        <w:tc>
          <w:tcPr>
            <w:tcW w:w="25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57AF3" w:rsidRPr="00F13B38" w:rsidRDefault="00A57AF3" w:rsidP="00D51B3C">
            <w:pPr>
              <w:spacing w:line="240" w:lineRule="auto"/>
              <w:rPr>
                <w:rFonts w:asciiTheme="minorHAnsi" w:hAnsiTheme="minorHAnsi" w:cstheme="minorHAnsi"/>
                <w:b/>
                <w:bCs/>
              </w:rPr>
            </w:pPr>
            <w:r w:rsidRPr="00F13B38">
              <w:rPr>
                <w:rFonts w:asciiTheme="minorHAnsi" w:hAnsiTheme="minorHAnsi" w:cstheme="minorHAnsi"/>
                <w:b/>
                <w:bCs/>
              </w:rPr>
              <w:t xml:space="preserve">Principal Reason for Decision </w:t>
            </w:r>
          </w:p>
        </w:tc>
        <w:tc>
          <w:tcPr>
            <w:tcW w:w="7848" w:type="dxa"/>
            <w:tcBorders>
              <w:top w:val="single" w:sz="4" w:space="0" w:color="auto"/>
              <w:left w:val="single" w:sz="4" w:space="0" w:color="auto"/>
              <w:bottom w:val="single" w:sz="4" w:space="0" w:color="auto"/>
              <w:right w:val="single" w:sz="4" w:space="0" w:color="auto"/>
            </w:tcBorders>
          </w:tcPr>
          <w:p w:rsidR="00A57AF3" w:rsidRPr="00F13B38" w:rsidRDefault="00897E0D" w:rsidP="00117A5F">
            <w:pPr>
              <w:pStyle w:val="NoSpacing"/>
              <w:rPr>
                <w:rFonts w:asciiTheme="minorHAnsi" w:hAnsiTheme="minorHAnsi" w:cstheme="minorHAnsi"/>
              </w:rPr>
            </w:pPr>
            <w:r w:rsidRPr="00F13B38">
              <w:rPr>
                <w:rFonts w:asciiTheme="minorHAnsi" w:hAnsiTheme="minorHAnsi" w:cstheme="minorHAnsi"/>
              </w:rPr>
              <w:t>This option significantly delivers against all of the outcomes</w:t>
            </w:r>
            <w:r w:rsidR="007322D1" w:rsidRPr="00F13B38">
              <w:rPr>
                <w:rFonts w:asciiTheme="minorHAnsi" w:hAnsiTheme="minorHAnsi" w:cstheme="minorHAnsi"/>
              </w:rPr>
              <w:t>.</w:t>
            </w:r>
          </w:p>
        </w:tc>
      </w:tr>
    </w:tbl>
    <w:p w:rsidR="001E7189" w:rsidRPr="00F13B38" w:rsidRDefault="001E7189" w:rsidP="00863E78">
      <w:pPr>
        <w:pStyle w:val="ResiteBPPNormal"/>
        <w:rPr>
          <w:rFonts w:asciiTheme="minorHAnsi" w:hAnsiTheme="minorHAnsi" w:cstheme="minorHAnsi"/>
          <w:sz w:val="22"/>
          <w:szCs w:val="22"/>
        </w:rPr>
      </w:pPr>
    </w:p>
    <w:p w:rsidR="001E7189" w:rsidRPr="00F13B38" w:rsidRDefault="001E7189">
      <w:pPr>
        <w:spacing w:after="0" w:line="240" w:lineRule="auto"/>
        <w:rPr>
          <w:rFonts w:asciiTheme="minorHAnsi" w:hAnsiTheme="minorHAnsi" w:cstheme="minorHAnsi"/>
        </w:rPr>
      </w:pPr>
      <w:r w:rsidRPr="00F13B38">
        <w:rPr>
          <w:rFonts w:asciiTheme="minorHAnsi" w:hAnsiTheme="minorHAnsi" w:cstheme="minorHAnsi"/>
        </w:rPr>
        <w:br w:type="page"/>
      </w:r>
    </w:p>
    <w:p w:rsidR="00C832D1" w:rsidRPr="00F13B38" w:rsidRDefault="00C832D1" w:rsidP="00BD49F9">
      <w:pPr>
        <w:tabs>
          <w:tab w:val="num" w:pos="2160"/>
        </w:tabs>
        <w:spacing w:after="240" w:line="240" w:lineRule="auto"/>
        <w:rPr>
          <w:rFonts w:asciiTheme="minorHAnsi" w:hAnsiTheme="minorHAnsi" w:cstheme="minorHAnsi"/>
        </w:rPr>
      </w:pPr>
    </w:p>
    <w:tbl>
      <w:tblPr>
        <w:tblpPr w:leftFromText="180" w:rightFromText="180" w:vertAnchor="text" w:horzAnchor="margin" w:tblpY="85"/>
        <w:tblOverlap w:val="neve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4"/>
      </w:tblGrid>
      <w:tr w:rsidR="00AA568F" w:rsidRPr="00F13B38" w:rsidTr="00AC5F08">
        <w:trPr>
          <w:trHeight w:val="382"/>
        </w:trPr>
        <w:tc>
          <w:tcPr>
            <w:tcW w:w="1032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A87CAF" w:rsidRPr="00F13B38" w:rsidRDefault="0047673F">
            <w:pPr>
              <w:spacing w:after="0" w:line="240" w:lineRule="auto"/>
              <w:rPr>
                <w:rFonts w:asciiTheme="minorHAnsi" w:hAnsiTheme="minorHAnsi" w:cstheme="minorHAnsi"/>
                <w:b/>
                <w:bCs/>
              </w:rPr>
            </w:pPr>
            <w:r w:rsidRPr="00F13B38">
              <w:rPr>
                <w:rFonts w:asciiTheme="minorHAnsi" w:hAnsiTheme="minorHAnsi" w:cstheme="minorHAnsi"/>
                <w:b/>
                <w:bCs/>
              </w:rPr>
              <w:t>4</w:t>
            </w:r>
            <w:r w:rsidR="00A87CAF" w:rsidRPr="00F13B38">
              <w:rPr>
                <w:rFonts w:asciiTheme="minorHAnsi" w:hAnsiTheme="minorHAnsi" w:cstheme="minorHAnsi"/>
                <w:b/>
                <w:bCs/>
              </w:rPr>
              <w:t xml:space="preserve">. Budget and management information </w:t>
            </w:r>
          </w:p>
        </w:tc>
      </w:tr>
      <w:tr w:rsidR="00AA568F" w:rsidRPr="00F13B38" w:rsidTr="00BF6DCB">
        <w:trPr>
          <w:cantSplit/>
          <w:trHeight w:hRule="exact" w:val="754"/>
        </w:trPr>
        <w:tc>
          <w:tcPr>
            <w:tcW w:w="10324" w:type="dxa"/>
            <w:tcBorders>
              <w:top w:val="single" w:sz="4" w:space="0" w:color="auto"/>
              <w:left w:val="single" w:sz="4" w:space="0" w:color="auto"/>
              <w:bottom w:val="single" w:sz="4" w:space="0" w:color="auto"/>
              <w:right w:val="single" w:sz="4" w:space="0" w:color="auto"/>
            </w:tcBorders>
            <w:shd w:val="clear" w:color="auto" w:fill="FFFFFF"/>
          </w:tcPr>
          <w:p w:rsidR="00F359D5" w:rsidRPr="00F13B38" w:rsidRDefault="00CE11CD">
            <w:pPr>
              <w:pStyle w:val="Footer"/>
              <w:shd w:val="clear" w:color="auto" w:fill="FFFFFF"/>
              <w:spacing w:after="0"/>
              <w:jc w:val="both"/>
              <w:rPr>
                <w:rFonts w:asciiTheme="minorHAnsi" w:hAnsiTheme="minorHAnsi" w:cstheme="minorHAnsi"/>
                <w:bCs/>
                <w:iCs/>
              </w:rPr>
            </w:pPr>
            <w:r w:rsidRPr="00F13B38">
              <w:rPr>
                <w:rFonts w:asciiTheme="minorHAnsi" w:hAnsiTheme="minorHAnsi" w:cstheme="minorHAnsi"/>
                <w:bCs/>
                <w:iCs/>
              </w:rPr>
              <w:t>Please see above Options for summarised financial information.</w:t>
            </w:r>
          </w:p>
        </w:tc>
      </w:tr>
    </w:tbl>
    <w:p w:rsidR="008B1468" w:rsidRPr="00F13B38" w:rsidRDefault="008B1468">
      <w:pPr>
        <w:rPr>
          <w:rFonts w:asciiTheme="minorHAnsi" w:hAnsiTheme="minorHAnsi" w:cstheme="minorHAnsi"/>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1"/>
        <w:gridCol w:w="7811"/>
      </w:tblGrid>
      <w:tr w:rsidR="00AA568F" w:rsidRPr="00F13B38" w:rsidTr="001A168B">
        <w:tc>
          <w:tcPr>
            <w:tcW w:w="10312" w:type="dxa"/>
            <w:gridSpan w:val="2"/>
            <w:shd w:val="clear" w:color="auto" w:fill="DBE5F1" w:themeFill="accent1" w:themeFillTint="33"/>
          </w:tcPr>
          <w:p w:rsidR="00AF3AF0" w:rsidRPr="00F13B38" w:rsidRDefault="00AF3AF0" w:rsidP="00891AB2">
            <w:pPr>
              <w:spacing w:line="240" w:lineRule="auto"/>
              <w:rPr>
                <w:rFonts w:asciiTheme="minorHAnsi" w:eastAsia="PMingLiU" w:hAnsiTheme="minorHAnsi" w:cstheme="minorHAnsi"/>
                <w:i/>
                <w:iCs/>
              </w:rPr>
            </w:pPr>
            <w:r w:rsidRPr="00F13B38">
              <w:rPr>
                <w:rFonts w:asciiTheme="minorHAnsi" w:hAnsiTheme="minorHAnsi" w:cstheme="minorHAnsi"/>
                <w:b/>
                <w:bCs/>
              </w:rPr>
              <w:t xml:space="preserve"> </w:t>
            </w:r>
            <w:r w:rsidR="0047673F" w:rsidRPr="00F13B38">
              <w:rPr>
                <w:rFonts w:asciiTheme="minorHAnsi" w:hAnsiTheme="minorHAnsi" w:cstheme="minorHAnsi"/>
                <w:b/>
                <w:bCs/>
              </w:rPr>
              <w:t xml:space="preserve">5. </w:t>
            </w:r>
            <w:r w:rsidRPr="00F13B38">
              <w:rPr>
                <w:rFonts w:asciiTheme="minorHAnsi" w:hAnsiTheme="minorHAnsi" w:cstheme="minorHAnsi"/>
                <w:b/>
                <w:bCs/>
              </w:rPr>
              <w:t xml:space="preserve">Project Development Requirements/Information </w:t>
            </w:r>
          </w:p>
        </w:tc>
      </w:tr>
      <w:tr w:rsidR="00AA568F" w:rsidRPr="00F13B38" w:rsidTr="001A168B">
        <w:tc>
          <w:tcPr>
            <w:tcW w:w="2501" w:type="dxa"/>
            <w:shd w:val="clear" w:color="auto" w:fill="DBE5F1" w:themeFill="accent1" w:themeFillTint="33"/>
          </w:tcPr>
          <w:p w:rsidR="00AF3AF0" w:rsidRPr="00F13B38" w:rsidRDefault="00AF3AF0" w:rsidP="00891AB2">
            <w:pPr>
              <w:spacing w:line="240" w:lineRule="auto"/>
              <w:rPr>
                <w:rFonts w:asciiTheme="minorHAnsi" w:hAnsiTheme="minorHAnsi" w:cstheme="minorHAnsi"/>
                <w:b/>
                <w:bCs/>
              </w:rPr>
            </w:pPr>
            <w:r w:rsidRPr="00F13B38">
              <w:rPr>
                <w:rFonts w:asciiTheme="minorHAnsi" w:hAnsiTheme="minorHAnsi" w:cstheme="minorHAnsi"/>
                <w:b/>
                <w:bCs/>
              </w:rPr>
              <w:t xml:space="preserve">Products required to produce Full Business Case </w:t>
            </w:r>
          </w:p>
        </w:tc>
        <w:tc>
          <w:tcPr>
            <w:tcW w:w="7811" w:type="dxa"/>
          </w:tcPr>
          <w:p w:rsidR="00CE11CD" w:rsidRPr="00F13B38" w:rsidRDefault="00CE11CD" w:rsidP="00CE11CD">
            <w:pPr>
              <w:pStyle w:val="ListParagraph"/>
              <w:numPr>
                <w:ilvl w:val="0"/>
                <w:numId w:val="27"/>
              </w:numPr>
              <w:spacing w:line="240" w:lineRule="auto"/>
              <w:rPr>
                <w:rFonts w:asciiTheme="minorHAnsi" w:eastAsia="PMingLiU" w:hAnsiTheme="minorHAnsi" w:cstheme="minorHAnsi"/>
                <w:iCs/>
              </w:rPr>
            </w:pPr>
            <w:r w:rsidRPr="00F13B38">
              <w:rPr>
                <w:rFonts w:asciiTheme="minorHAnsi" w:eastAsia="PMingLiU" w:hAnsiTheme="minorHAnsi" w:cstheme="minorHAnsi"/>
                <w:iCs/>
              </w:rPr>
              <w:t>Consultation Plan</w:t>
            </w:r>
            <w:r w:rsidR="00C92B5B" w:rsidRPr="00F13B38">
              <w:rPr>
                <w:rFonts w:asciiTheme="minorHAnsi" w:eastAsia="PMingLiU" w:hAnsiTheme="minorHAnsi" w:cstheme="minorHAnsi"/>
                <w:iCs/>
              </w:rPr>
              <w:t xml:space="preserve"> and associated consultation materials</w:t>
            </w:r>
          </w:p>
          <w:p w:rsidR="00CE11CD" w:rsidRPr="00F13B38" w:rsidRDefault="00CE11CD" w:rsidP="00CE11CD">
            <w:pPr>
              <w:pStyle w:val="ListParagraph"/>
              <w:numPr>
                <w:ilvl w:val="0"/>
                <w:numId w:val="27"/>
              </w:numPr>
              <w:spacing w:line="240" w:lineRule="auto"/>
              <w:rPr>
                <w:rFonts w:asciiTheme="minorHAnsi" w:eastAsia="PMingLiU" w:hAnsiTheme="minorHAnsi" w:cstheme="minorHAnsi"/>
                <w:iCs/>
              </w:rPr>
            </w:pPr>
            <w:r w:rsidRPr="00F13B38">
              <w:rPr>
                <w:rFonts w:asciiTheme="minorHAnsi" w:eastAsia="PMingLiU" w:hAnsiTheme="minorHAnsi" w:cstheme="minorHAnsi"/>
                <w:iCs/>
              </w:rPr>
              <w:t>Consultation Outputs</w:t>
            </w:r>
          </w:p>
          <w:p w:rsidR="00CE11CD" w:rsidRPr="00F13B38" w:rsidRDefault="00CE11CD" w:rsidP="00CE11CD">
            <w:pPr>
              <w:pStyle w:val="ListParagraph"/>
              <w:numPr>
                <w:ilvl w:val="0"/>
                <w:numId w:val="27"/>
              </w:numPr>
              <w:spacing w:line="240" w:lineRule="auto"/>
              <w:rPr>
                <w:rFonts w:asciiTheme="minorHAnsi" w:eastAsia="PMingLiU" w:hAnsiTheme="minorHAnsi" w:cstheme="minorHAnsi"/>
                <w:iCs/>
              </w:rPr>
            </w:pPr>
            <w:r w:rsidRPr="00F13B38">
              <w:rPr>
                <w:rFonts w:asciiTheme="minorHAnsi" w:eastAsia="PMingLiU" w:hAnsiTheme="minorHAnsi" w:cstheme="minorHAnsi"/>
                <w:iCs/>
              </w:rPr>
              <w:t>Updated Equality Assessment</w:t>
            </w:r>
          </w:p>
          <w:p w:rsidR="00CE11CD" w:rsidRPr="00F13B38" w:rsidRDefault="00CE11CD" w:rsidP="00CE11CD">
            <w:pPr>
              <w:pStyle w:val="ListParagraph"/>
              <w:numPr>
                <w:ilvl w:val="0"/>
                <w:numId w:val="27"/>
              </w:numPr>
              <w:spacing w:line="240" w:lineRule="auto"/>
              <w:rPr>
                <w:rFonts w:asciiTheme="minorHAnsi" w:eastAsia="PMingLiU" w:hAnsiTheme="minorHAnsi" w:cstheme="minorHAnsi"/>
                <w:iCs/>
              </w:rPr>
            </w:pPr>
            <w:r w:rsidRPr="00F13B38">
              <w:rPr>
                <w:rFonts w:asciiTheme="minorHAnsi" w:eastAsia="PMingLiU" w:hAnsiTheme="minorHAnsi" w:cstheme="minorHAnsi"/>
                <w:iCs/>
              </w:rPr>
              <w:t>Reassessment of service user/carers needs</w:t>
            </w:r>
          </w:p>
          <w:p w:rsidR="00CE11CD" w:rsidRPr="00F13B38" w:rsidRDefault="00CE11CD" w:rsidP="00891AB2">
            <w:pPr>
              <w:spacing w:line="240" w:lineRule="auto"/>
              <w:rPr>
                <w:rFonts w:asciiTheme="minorHAnsi" w:eastAsia="PMingLiU" w:hAnsiTheme="minorHAnsi" w:cstheme="minorHAnsi"/>
                <w:i/>
                <w:iCs/>
              </w:rPr>
            </w:pPr>
          </w:p>
        </w:tc>
      </w:tr>
      <w:tr w:rsidR="00AA568F" w:rsidRPr="00F13B38" w:rsidTr="001A168B">
        <w:tc>
          <w:tcPr>
            <w:tcW w:w="2501" w:type="dxa"/>
            <w:shd w:val="clear" w:color="auto" w:fill="DBE5F1" w:themeFill="accent1" w:themeFillTint="33"/>
          </w:tcPr>
          <w:p w:rsidR="00AF3AF0" w:rsidRPr="00F13B38" w:rsidRDefault="00AF3AF0" w:rsidP="00891AB2">
            <w:pPr>
              <w:spacing w:line="240" w:lineRule="auto"/>
              <w:rPr>
                <w:rFonts w:asciiTheme="minorHAnsi" w:hAnsiTheme="minorHAnsi" w:cstheme="minorHAnsi"/>
                <w:b/>
                <w:bCs/>
              </w:rPr>
            </w:pPr>
            <w:r w:rsidRPr="00F13B38">
              <w:rPr>
                <w:rFonts w:asciiTheme="minorHAnsi" w:hAnsiTheme="minorHAnsi" w:cstheme="minorHAnsi"/>
                <w:b/>
                <w:bCs/>
              </w:rPr>
              <w:t>Estimated time to complete project development</w:t>
            </w:r>
          </w:p>
        </w:tc>
        <w:tc>
          <w:tcPr>
            <w:tcW w:w="7811" w:type="dxa"/>
          </w:tcPr>
          <w:p w:rsidR="00AF3AF0" w:rsidRPr="00F13B38" w:rsidRDefault="00BB168E" w:rsidP="00891AB2">
            <w:pPr>
              <w:spacing w:line="240" w:lineRule="auto"/>
              <w:rPr>
                <w:rFonts w:asciiTheme="minorHAnsi" w:hAnsiTheme="minorHAnsi" w:cstheme="minorHAnsi"/>
              </w:rPr>
            </w:pPr>
            <w:r w:rsidRPr="00F13B38">
              <w:rPr>
                <w:rFonts w:asciiTheme="minorHAnsi" w:hAnsiTheme="minorHAnsi" w:cstheme="minorHAnsi"/>
              </w:rPr>
              <w:t>4</w:t>
            </w:r>
            <w:r w:rsidR="007B09D9" w:rsidRPr="00F13B38">
              <w:rPr>
                <w:rFonts w:asciiTheme="minorHAnsi" w:hAnsiTheme="minorHAnsi" w:cstheme="minorHAnsi"/>
              </w:rPr>
              <w:t xml:space="preserve"> Months</w:t>
            </w:r>
            <w:r w:rsidR="006824EB">
              <w:rPr>
                <w:rFonts w:asciiTheme="minorHAnsi" w:hAnsiTheme="minorHAnsi" w:cstheme="minorHAnsi"/>
              </w:rPr>
              <w:t xml:space="preserve"> from Permission to Consult being granted.</w:t>
            </w:r>
          </w:p>
        </w:tc>
      </w:tr>
      <w:tr w:rsidR="00AA568F" w:rsidRPr="00F13B38" w:rsidTr="001A168B">
        <w:tc>
          <w:tcPr>
            <w:tcW w:w="2501" w:type="dxa"/>
            <w:shd w:val="clear" w:color="auto" w:fill="DBE5F1" w:themeFill="accent1" w:themeFillTint="33"/>
          </w:tcPr>
          <w:p w:rsidR="00AF3AF0" w:rsidRPr="00F13B38" w:rsidRDefault="00AF3AF0" w:rsidP="00891AB2">
            <w:pPr>
              <w:spacing w:line="240" w:lineRule="auto"/>
              <w:rPr>
                <w:rFonts w:asciiTheme="minorHAnsi" w:eastAsia="PMingLiU" w:hAnsiTheme="minorHAnsi" w:cstheme="minorHAnsi"/>
                <w:i/>
                <w:iCs/>
              </w:rPr>
            </w:pPr>
            <w:r w:rsidRPr="00F13B38">
              <w:rPr>
                <w:rFonts w:asciiTheme="minorHAnsi" w:hAnsiTheme="minorHAnsi" w:cstheme="minorHAnsi"/>
                <w:b/>
                <w:bCs/>
              </w:rPr>
              <w:t xml:space="preserve">Estimated cost to complete project development </w:t>
            </w:r>
          </w:p>
        </w:tc>
        <w:tc>
          <w:tcPr>
            <w:tcW w:w="7811" w:type="dxa"/>
          </w:tcPr>
          <w:p w:rsidR="00AF3AF0" w:rsidRPr="00F13B38" w:rsidRDefault="00D40E1B" w:rsidP="00891AB2">
            <w:pPr>
              <w:spacing w:line="240" w:lineRule="auto"/>
              <w:rPr>
                <w:rFonts w:asciiTheme="minorHAnsi" w:hAnsiTheme="minorHAnsi" w:cstheme="minorHAnsi"/>
              </w:rPr>
            </w:pPr>
            <w:r w:rsidRPr="00F13B38">
              <w:rPr>
                <w:rFonts w:asciiTheme="minorHAnsi" w:hAnsiTheme="minorHAnsi" w:cstheme="minorHAnsi"/>
              </w:rPr>
              <w:t>No direct costs have been identified at present to enable the project to develop to the Full Business Case stage.</w:t>
            </w:r>
          </w:p>
        </w:tc>
      </w:tr>
      <w:tr w:rsidR="00AA568F" w:rsidRPr="00F13B38" w:rsidTr="001A168B">
        <w:tc>
          <w:tcPr>
            <w:tcW w:w="2501" w:type="dxa"/>
            <w:shd w:val="clear" w:color="auto" w:fill="DBE5F1" w:themeFill="accent1" w:themeFillTint="33"/>
          </w:tcPr>
          <w:p w:rsidR="00AF3AF0" w:rsidRPr="00F13B38" w:rsidRDefault="00AF3AF0" w:rsidP="00891AB2">
            <w:pPr>
              <w:spacing w:line="240" w:lineRule="auto"/>
              <w:rPr>
                <w:rFonts w:asciiTheme="minorHAnsi" w:eastAsia="PMingLiU" w:hAnsiTheme="minorHAnsi" w:cstheme="minorHAnsi"/>
                <w:b/>
                <w:bCs/>
              </w:rPr>
            </w:pPr>
            <w:r w:rsidRPr="00F13B38">
              <w:rPr>
                <w:rFonts w:asciiTheme="minorHAnsi" w:eastAsia="PMingLiU" w:hAnsiTheme="minorHAnsi" w:cstheme="minorHAnsi"/>
                <w:b/>
                <w:bCs/>
              </w:rPr>
              <w:t xml:space="preserve">Funding of development costs </w:t>
            </w:r>
          </w:p>
        </w:tc>
        <w:tc>
          <w:tcPr>
            <w:tcW w:w="7811" w:type="dxa"/>
          </w:tcPr>
          <w:p w:rsidR="00AF3AF0" w:rsidRPr="00F13B38" w:rsidRDefault="007B09D9" w:rsidP="00891AB2">
            <w:pPr>
              <w:spacing w:line="240" w:lineRule="auto"/>
              <w:rPr>
                <w:rFonts w:asciiTheme="minorHAnsi" w:hAnsiTheme="minorHAnsi" w:cstheme="minorHAnsi"/>
              </w:rPr>
            </w:pPr>
            <w:r w:rsidRPr="00F13B38">
              <w:rPr>
                <w:rFonts w:asciiTheme="minorHAnsi" w:hAnsiTheme="minorHAnsi" w:cstheme="minorHAnsi"/>
              </w:rPr>
              <w:t>N/A</w:t>
            </w:r>
          </w:p>
        </w:tc>
      </w:tr>
      <w:tr w:rsidR="00AA568F" w:rsidRPr="00F13B38" w:rsidTr="001A168B">
        <w:tc>
          <w:tcPr>
            <w:tcW w:w="2501" w:type="dxa"/>
            <w:shd w:val="clear" w:color="auto" w:fill="DBE5F1" w:themeFill="accent1" w:themeFillTint="33"/>
          </w:tcPr>
          <w:p w:rsidR="0047673F" w:rsidRPr="00F13B38" w:rsidRDefault="0047673F" w:rsidP="0047673F">
            <w:pPr>
              <w:spacing w:after="0" w:line="240" w:lineRule="auto"/>
              <w:jc w:val="both"/>
              <w:rPr>
                <w:rFonts w:asciiTheme="minorHAnsi" w:hAnsiTheme="minorHAnsi" w:cstheme="minorHAnsi"/>
                <w:lang w:val="en-US"/>
              </w:rPr>
            </w:pPr>
            <w:r w:rsidRPr="00F13B38">
              <w:rPr>
                <w:rFonts w:asciiTheme="minorHAnsi" w:hAnsiTheme="minorHAnsi" w:cstheme="minorHAnsi"/>
                <w:b/>
                <w:lang w:val="en-US"/>
              </w:rPr>
              <w:t>EIA:</w:t>
            </w:r>
            <w:r w:rsidRPr="00F13B38">
              <w:rPr>
                <w:rFonts w:asciiTheme="minorHAnsi" w:hAnsiTheme="minorHAnsi" w:cstheme="minorHAnsi"/>
                <w:lang w:val="en-US"/>
              </w:rPr>
              <w:t xml:space="preserve"> the main risks so far identified a strategy for managing them and need for any contingency arrangements.</w:t>
            </w:r>
          </w:p>
          <w:p w:rsidR="0047673F" w:rsidRPr="00F13B38" w:rsidRDefault="0047673F" w:rsidP="00891AB2">
            <w:pPr>
              <w:spacing w:line="240" w:lineRule="auto"/>
              <w:rPr>
                <w:rFonts w:asciiTheme="minorHAnsi" w:eastAsia="PMingLiU" w:hAnsiTheme="minorHAnsi" w:cstheme="minorHAnsi"/>
                <w:b/>
                <w:bCs/>
              </w:rPr>
            </w:pPr>
          </w:p>
        </w:tc>
        <w:tc>
          <w:tcPr>
            <w:tcW w:w="7811" w:type="dxa"/>
          </w:tcPr>
          <w:p w:rsidR="00D40E1B" w:rsidRPr="00F13B38" w:rsidRDefault="00D40E1B" w:rsidP="00D40E1B">
            <w:pPr>
              <w:spacing w:line="240" w:lineRule="auto"/>
              <w:rPr>
                <w:rFonts w:asciiTheme="minorHAnsi" w:hAnsiTheme="minorHAnsi" w:cstheme="minorHAnsi"/>
                <w:lang w:val="en-US"/>
              </w:rPr>
            </w:pPr>
            <w:r w:rsidRPr="00F13B38">
              <w:rPr>
                <w:rFonts w:asciiTheme="minorHAnsi" w:hAnsiTheme="minorHAnsi" w:cstheme="minorHAnsi"/>
                <w:lang w:val="en-US"/>
              </w:rPr>
              <w:t xml:space="preserve">An initial Equality Assessment has been completed and will be revised and updated as the project develops towards a Full Business Case.  </w:t>
            </w:r>
          </w:p>
          <w:p w:rsidR="0047673F" w:rsidRPr="00F13B38" w:rsidRDefault="00D40E1B" w:rsidP="00D40E1B">
            <w:pPr>
              <w:spacing w:line="240" w:lineRule="auto"/>
              <w:rPr>
                <w:rFonts w:asciiTheme="minorHAnsi" w:hAnsiTheme="minorHAnsi" w:cstheme="minorHAnsi"/>
              </w:rPr>
            </w:pPr>
            <w:r w:rsidRPr="00F13B38">
              <w:rPr>
                <w:rFonts w:asciiTheme="minorHAnsi" w:hAnsiTheme="minorHAnsi" w:cstheme="minorHAnsi"/>
                <w:lang w:val="en-US"/>
              </w:rPr>
              <w:t>The Equality Assessment has considered the options contained in the Outline Business Case and currently identifies that the proposals would have the most significant impact on those with the following protected characteristics; age; disability; and gender.  These will be the focus of the Equality Analysis as it develops throughout the consultation period and in developing the Full Business Case.</w:t>
            </w:r>
          </w:p>
        </w:tc>
      </w:tr>
    </w:tbl>
    <w:p w:rsidR="00AF3AF0" w:rsidRPr="00F13B38" w:rsidRDefault="00AF3AF0" w:rsidP="000B5CB0">
      <w:pPr>
        <w:pStyle w:val="ResiteBPPNormal"/>
        <w:rPr>
          <w:rFonts w:asciiTheme="minorHAnsi" w:hAnsiTheme="minorHAnsi" w:cstheme="minorHAnsi"/>
          <w:sz w:val="22"/>
          <w:szCs w:val="22"/>
        </w:rPr>
      </w:pPr>
    </w:p>
    <w:sectPr w:rsidR="00AF3AF0" w:rsidRPr="00F13B38" w:rsidSect="00124950">
      <w:footerReference w:type="even" r:id="rId9"/>
      <w:footerReference w:type="default" r:id="rId10"/>
      <w:pgSz w:w="11906" w:h="16838"/>
      <w:pgMar w:top="851" w:right="73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54" w:rsidRDefault="004E3154" w:rsidP="00055821">
      <w:pPr>
        <w:spacing w:after="0" w:line="240" w:lineRule="auto"/>
      </w:pPr>
      <w:r>
        <w:separator/>
      </w:r>
    </w:p>
  </w:endnote>
  <w:endnote w:type="continuationSeparator" w:id="0">
    <w:p w:rsidR="004E3154" w:rsidRDefault="004E3154" w:rsidP="0005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54" w:rsidRDefault="004E3154" w:rsidP="004D2D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3154" w:rsidRDefault="004E3154" w:rsidP="0012495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54" w:rsidRDefault="004E3154" w:rsidP="004D2D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5C6">
      <w:rPr>
        <w:rStyle w:val="PageNumber"/>
        <w:noProof/>
      </w:rPr>
      <w:t>13</w:t>
    </w:r>
    <w:r>
      <w:rPr>
        <w:rStyle w:val="PageNumber"/>
      </w:rPr>
      <w:fldChar w:fldCharType="end"/>
    </w:r>
  </w:p>
  <w:p w:rsidR="004E3154" w:rsidRDefault="004E3154" w:rsidP="005D6A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54" w:rsidRDefault="004E3154" w:rsidP="00055821">
      <w:pPr>
        <w:spacing w:after="0" w:line="240" w:lineRule="auto"/>
      </w:pPr>
      <w:r>
        <w:separator/>
      </w:r>
    </w:p>
  </w:footnote>
  <w:footnote w:type="continuationSeparator" w:id="0">
    <w:p w:rsidR="004E3154" w:rsidRDefault="004E3154" w:rsidP="00055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F5F"/>
    <w:multiLevelType w:val="hybridMultilevel"/>
    <w:tmpl w:val="B466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15489E"/>
    <w:multiLevelType w:val="hybridMultilevel"/>
    <w:tmpl w:val="2D06B56E"/>
    <w:lvl w:ilvl="0" w:tplc="6E92651A">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nsid w:val="0B921FB0"/>
    <w:multiLevelType w:val="hybridMultilevel"/>
    <w:tmpl w:val="060E9E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7E7082"/>
    <w:multiLevelType w:val="hybridMultilevel"/>
    <w:tmpl w:val="008EC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8E74E4"/>
    <w:multiLevelType w:val="hybridMultilevel"/>
    <w:tmpl w:val="2878E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121882"/>
    <w:multiLevelType w:val="hybridMultilevel"/>
    <w:tmpl w:val="BEB0F744"/>
    <w:lvl w:ilvl="0" w:tplc="08090001">
      <w:start w:val="1"/>
      <w:numFmt w:val="bullet"/>
      <w:lvlText w:val=""/>
      <w:lvlJc w:val="left"/>
      <w:pPr>
        <w:ind w:left="534" w:hanging="360"/>
      </w:pPr>
      <w:rPr>
        <w:rFonts w:ascii="Symbol" w:hAnsi="Symbol" w:hint="default"/>
      </w:rPr>
    </w:lvl>
    <w:lvl w:ilvl="1" w:tplc="08090003" w:tentative="1">
      <w:start w:val="1"/>
      <w:numFmt w:val="bullet"/>
      <w:lvlText w:val="o"/>
      <w:lvlJc w:val="left"/>
      <w:pPr>
        <w:ind w:left="1254" w:hanging="360"/>
      </w:pPr>
      <w:rPr>
        <w:rFonts w:ascii="Courier New" w:hAnsi="Courier New" w:cs="Courier New" w:hint="default"/>
      </w:rPr>
    </w:lvl>
    <w:lvl w:ilvl="2" w:tplc="08090005" w:tentative="1">
      <w:start w:val="1"/>
      <w:numFmt w:val="bullet"/>
      <w:lvlText w:val=""/>
      <w:lvlJc w:val="left"/>
      <w:pPr>
        <w:ind w:left="1974" w:hanging="360"/>
      </w:pPr>
      <w:rPr>
        <w:rFonts w:ascii="Wingdings" w:hAnsi="Wingdings" w:hint="default"/>
      </w:rPr>
    </w:lvl>
    <w:lvl w:ilvl="3" w:tplc="08090001" w:tentative="1">
      <w:start w:val="1"/>
      <w:numFmt w:val="bullet"/>
      <w:lvlText w:val=""/>
      <w:lvlJc w:val="left"/>
      <w:pPr>
        <w:ind w:left="2694" w:hanging="360"/>
      </w:pPr>
      <w:rPr>
        <w:rFonts w:ascii="Symbol" w:hAnsi="Symbol" w:hint="default"/>
      </w:rPr>
    </w:lvl>
    <w:lvl w:ilvl="4" w:tplc="08090003" w:tentative="1">
      <w:start w:val="1"/>
      <w:numFmt w:val="bullet"/>
      <w:lvlText w:val="o"/>
      <w:lvlJc w:val="left"/>
      <w:pPr>
        <w:ind w:left="3414" w:hanging="360"/>
      </w:pPr>
      <w:rPr>
        <w:rFonts w:ascii="Courier New" w:hAnsi="Courier New" w:cs="Courier New" w:hint="default"/>
      </w:rPr>
    </w:lvl>
    <w:lvl w:ilvl="5" w:tplc="08090005" w:tentative="1">
      <w:start w:val="1"/>
      <w:numFmt w:val="bullet"/>
      <w:lvlText w:val=""/>
      <w:lvlJc w:val="left"/>
      <w:pPr>
        <w:ind w:left="4134" w:hanging="360"/>
      </w:pPr>
      <w:rPr>
        <w:rFonts w:ascii="Wingdings" w:hAnsi="Wingdings" w:hint="default"/>
      </w:rPr>
    </w:lvl>
    <w:lvl w:ilvl="6" w:tplc="08090001" w:tentative="1">
      <w:start w:val="1"/>
      <w:numFmt w:val="bullet"/>
      <w:lvlText w:val=""/>
      <w:lvlJc w:val="left"/>
      <w:pPr>
        <w:ind w:left="4854" w:hanging="360"/>
      </w:pPr>
      <w:rPr>
        <w:rFonts w:ascii="Symbol" w:hAnsi="Symbol" w:hint="default"/>
      </w:rPr>
    </w:lvl>
    <w:lvl w:ilvl="7" w:tplc="08090003" w:tentative="1">
      <w:start w:val="1"/>
      <w:numFmt w:val="bullet"/>
      <w:lvlText w:val="o"/>
      <w:lvlJc w:val="left"/>
      <w:pPr>
        <w:ind w:left="5574" w:hanging="360"/>
      </w:pPr>
      <w:rPr>
        <w:rFonts w:ascii="Courier New" w:hAnsi="Courier New" w:cs="Courier New" w:hint="default"/>
      </w:rPr>
    </w:lvl>
    <w:lvl w:ilvl="8" w:tplc="08090005" w:tentative="1">
      <w:start w:val="1"/>
      <w:numFmt w:val="bullet"/>
      <w:lvlText w:val=""/>
      <w:lvlJc w:val="left"/>
      <w:pPr>
        <w:ind w:left="6294" w:hanging="360"/>
      </w:pPr>
      <w:rPr>
        <w:rFonts w:ascii="Wingdings" w:hAnsi="Wingdings" w:hint="default"/>
      </w:rPr>
    </w:lvl>
  </w:abstractNum>
  <w:abstractNum w:abstractNumId="6">
    <w:nsid w:val="1AA32379"/>
    <w:multiLevelType w:val="hybridMultilevel"/>
    <w:tmpl w:val="33AE2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EA44195"/>
    <w:multiLevelType w:val="hybridMultilevel"/>
    <w:tmpl w:val="70C46B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C104C6"/>
    <w:multiLevelType w:val="hybridMultilevel"/>
    <w:tmpl w:val="84428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2B632F"/>
    <w:multiLevelType w:val="hybridMultilevel"/>
    <w:tmpl w:val="95F444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754C90"/>
    <w:multiLevelType w:val="hybridMultilevel"/>
    <w:tmpl w:val="0F34A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223D57"/>
    <w:multiLevelType w:val="hybridMultilevel"/>
    <w:tmpl w:val="42680B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66B164F"/>
    <w:multiLevelType w:val="hybridMultilevel"/>
    <w:tmpl w:val="DF068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901F33"/>
    <w:multiLevelType w:val="hybridMultilevel"/>
    <w:tmpl w:val="5866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94188F"/>
    <w:multiLevelType w:val="hybridMultilevel"/>
    <w:tmpl w:val="B6AA0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302B9C"/>
    <w:multiLevelType w:val="hybridMultilevel"/>
    <w:tmpl w:val="88186C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3A878E8"/>
    <w:multiLevelType w:val="hybridMultilevel"/>
    <w:tmpl w:val="784A3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DBC1213"/>
    <w:multiLevelType w:val="hybridMultilevel"/>
    <w:tmpl w:val="173CD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E446CD5"/>
    <w:multiLevelType w:val="hybridMultilevel"/>
    <w:tmpl w:val="73D88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4D4148"/>
    <w:multiLevelType w:val="hybridMultilevel"/>
    <w:tmpl w:val="2D30F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86F76"/>
    <w:multiLevelType w:val="hybridMultilevel"/>
    <w:tmpl w:val="D9C04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F305805"/>
    <w:multiLevelType w:val="hybridMultilevel"/>
    <w:tmpl w:val="42423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1563622"/>
    <w:multiLevelType w:val="hybridMultilevel"/>
    <w:tmpl w:val="D3ECA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7E173F"/>
    <w:multiLevelType w:val="hybridMultilevel"/>
    <w:tmpl w:val="46B0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635885"/>
    <w:multiLevelType w:val="hybridMultilevel"/>
    <w:tmpl w:val="7D7209DA"/>
    <w:lvl w:ilvl="0" w:tplc="5A886BE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8A4073"/>
    <w:multiLevelType w:val="hybridMultilevel"/>
    <w:tmpl w:val="5866A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543CC4"/>
    <w:multiLevelType w:val="hybridMultilevel"/>
    <w:tmpl w:val="BF1C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6F13A0"/>
    <w:multiLevelType w:val="hybridMultilevel"/>
    <w:tmpl w:val="7436D4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4DC719BF"/>
    <w:multiLevelType w:val="hybridMultilevel"/>
    <w:tmpl w:val="15EA2FD6"/>
    <w:lvl w:ilvl="0" w:tplc="5A886BEE">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093622B"/>
    <w:multiLevelType w:val="hybridMultilevel"/>
    <w:tmpl w:val="AD6A5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7034392"/>
    <w:multiLevelType w:val="hybridMultilevel"/>
    <w:tmpl w:val="EC1EC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8D93DC9"/>
    <w:multiLevelType w:val="hybridMultilevel"/>
    <w:tmpl w:val="6B7C0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6C4CA6"/>
    <w:multiLevelType w:val="hybridMultilevel"/>
    <w:tmpl w:val="3724C9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FA4165"/>
    <w:multiLevelType w:val="hybridMultilevel"/>
    <w:tmpl w:val="E564A8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0BE016F"/>
    <w:multiLevelType w:val="hybridMultilevel"/>
    <w:tmpl w:val="64C42A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1EC3921"/>
    <w:multiLevelType w:val="hybridMultilevel"/>
    <w:tmpl w:val="7D30F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36F2D69"/>
    <w:multiLevelType w:val="hybridMultilevel"/>
    <w:tmpl w:val="847E6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5A934FB"/>
    <w:multiLevelType w:val="hybridMultilevel"/>
    <w:tmpl w:val="57249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7F82F8C"/>
    <w:multiLevelType w:val="hybridMultilevel"/>
    <w:tmpl w:val="8F72837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9306EB6"/>
    <w:multiLevelType w:val="hybridMultilevel"/>
    <w:tmpl w:val="A83EF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E892C11"/>
    <w:multiLevelType w:val="hybridMultilevel"/>
    <w:tmpl w:val="A780430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num w:numId="1">
    <w:abstractNumId w:val="20"/>
  </w:num>
  <w:num w:numId="2">
    <w:abstractNumId w:val="37"/>
  </w:num>
  <w:num w:numId="3">
    <w:abstractNumId w:val="23"/>
  </w:num>
  <w:num w:numId="4">
    <w:abstractNumId w:val="30"/>
  </w:num>
  <w:num w:numId="5">
    <w:abstractNumId w:val="36"/>
  </w:num>
  <w:num w:numId="6">
    <w:abstractNumId w:val="0"/>
  </w:num>
  <w:num w:numId="7">
    <w:abstractNumId w:val="7"/>
  </w:num>
  <w:num w:numId="8">
    <w:abstractNumId w:val="2"/>
  </w:num>
  <w:num w:numId="9">
    <w:abstractNumId w:val="9"/>
  </w:num>
  <w:num w:numId="10">
    <w:abstractNumId w:val="31"/>
  </w:num>
  <w:num w:numId="11">
    <w:abstractNumId w:val="22"/>
  </w:num>
  <w:num w:numId="12">
    <w:abstractNumId w:val="17"/>
  </w:num>
  <w:num w:numId="13">
    <w:abstractNumId w:val="28"/>
  </w:num>
  <w:num w:numId="14">
    <w:abstractNumId w:val="24"/>
  </w:num>
  <w:num w:numId="15">
    <w:abstractNumId w:val="3"/>
  </w:num>
  <w:num w:numId="16">
    <w:abstractNumId w:val="33"/>
  </w:num>
  <w:num w:numId="17">
    <w:abstractNumId w:val="18"/>
  </w:num>
  <w:num w:numId="18">
    <w:abstractNumId w:val="16"/>
  </w:num>
  <w:num w:numId="19">
    <w:abstractNumId w:val="5"/>
  </w:num>
  <w:num w:numId="20">
    <w:abstractNumId w:val="11"/>
  </w:num>
  <w:num w:numId="21">
    <w:abstractNumId w:val="39"/>
  </w:num>
  <w:num w:numId="22">
    <w:abstractNumId w:val="40"/>
  </w:num>
  <w:num w:numId="23">
    <w:abstractNumId w:val="12"/>
  </w:num>
  <w:num w:numId="24">
    <w:abstractNumId w:val="8"/>
  </w:num>
  <w:num w:numId="25">
    <w:abstractNumId w:val="21"/>
  </w:num>
  <w:num w:numId="26">
    <w:abstractNumId w:val="1"/>
  </w:num>
  <w:num w:numId="27">
    <w:abstractNumId w:val="13"/>
  </w:num>
  <w:num w:numId="28">
    <w:abstractNumId w:val="34"/>
  </w:num>
  <w:num w:numId="29">
    <w:abstractNumId w:val="14"/>
  </w:num>
  <w:num w:numId="30">
    <w:abstractNumId w:val="4"/>
  </w:num>
  <w:num w:numId="31">
    <w:abstractNumId w:val="10"/>
  </w:num>
  <w:num w:numId="32">
    <w:abstractNumId w:val="27"/>
  </w:num>
  <w:num w:numId="33">
    <w:abstractNumId w:val="29"/>
  </w:num>
  <w:num w:numId="34">
    <w:abstractNumId w:val="25"/>
  </w:num>
  <w:num w:numId="35">
    <w:abstractNumId w:val="26"/>
  </w:num>
  <w:num w:numId="36">
    <w:abstractNumId w:val="32"/>
  </w:num>
  <w:num w:numId="37">
    <w:abstractNumId w:val="6"/>
  </w:num>
  <w:num w:numId="38">
    <w:abstractNumId w:val="38"/>
  </w:num>
  <w:num w:numId="39">
    <w:abstractNumId w:val="15"/>
  </w:num>
  <w:num w:numId="40">
    <w:abstractNumId w:val="35"/>
  </w:num>
  <w:num w:numId="4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77"/>
    <w:rsid w:val="00004C6A"/>
    <w:rsid w:val="000062FD"/>
    <w:rsid w:val="00007D69"/>
    <w:rsid w:val="00011FA0"/>
    <w:rsid w:val="00017128"/>
    <w:rsid w:val="000173E4"/>
    <w:rsid w:val="00022F9C"/>
    <w:rsid w:val="00026779"/>
    <w:rsid w:val="00027470"/>
    <w:rsid w:val="000323F7"/>
    <w:rsid w:val="00045470"/>
    <w:rsid w:val="00045894"/>
    <w:rsid w:val="0004763A"/>
    <w:rsid w:val="0005212A"/>
    <w:rsid w:val="000546F5"/>
    <w:rsid w:val="00055821"/>
    <w:rsid w:val="0006092D"/>
    <w:rsid w:val="00065FF8"/>
    <w:rsid w:val="00066AD5"/>
    <w:rsid w:val="00067976"/>
    <w:rsid w:val="000766FC"/>
    <w:rsid w:val="00077633"/>
    <w:rsid w:val="00081E71"/>
    <w:rsid w:val="000821C7"/>
    <w:rsid w:val="0008554E"/>
    <w:rsid w:val="00085D6E"/>
    <w:rsid w:val="000920C7"/>
    <w:rsid w:val="000A15FB"/>
    <w:rsid w:val="000A3934"/>
    <w:rsid w:val="000A3B89"/>
    <w:rsid w:val="000B149A"/>
    <w:rsid w:val="000B1889"/>
    <w:rsid w:val="000B2709"/>
    <w:rsid w:val="000B36A1"/>
    <w:rsid w:val="000B5CB0"/>
    <w:rsid w:val="000B69F3"/>
    <w:rsid w:val="000B7C0B"/>
    <w:rsid w:val="000C21B8"/>
    <w:rsid w:val="000C2F91"/>
    <w:rsid w:val="000C360C"/>
    <w:rsid w:val="000D1235"/>
    <w:rsid w:val="000D55BF"/>
    <w:rsid w:val="000E6AA6"/>
    <w:rsid w:val="000E78B7"/>
    <w:rsid w:val="000F0848"/>
    <w:rsid w:val="000F3D48"/>
    <w:rsid w:val="000F5A87"/>
    <w:rsid w:val="000F6171"/>
    <w:rsid w:val="000F669D"/>
    <w:rsid w:val="000F6AC1"/>
    <w:rsid w:val="00103492"/>
    <w:rsid w:val="00104EB5"/>
    <w:rsid w:val="00105291"/>
    <w:rsid w:val="0010568E"/>
    <w:rsid w:val="001059FD"/>
    <w:rsid w:val="00107DB1"/>
    <w:rsid w:val="00107E56"/>
    <w:rsid w:val="00110B42"/>
    <w:rsid w:val="00116A11"/>
    <w:rsid w:val="00116C6B"/>
    <w:rsid w:val="00116E48"/>
    <w:rsid w:val="00117A5F"/>
    <w:rsid w:val="001200DE"/>
    <w:rsid w:val="00124700"/>
    <w:rsid w:val="00124950"/>
    <w:rsid w:val="001264F4"/>
    <w:rsid w:val="00127758"/>
    <w:rsid w:val="00133236"/>
    <w:rsid w:val="00136C7A"/>
    <w:rsid w:val="0014017A"/>
    <w:rsid w:val="00142B50"/>
    <w:rsid w:val="00145EE9"/>
    <w:rsid w:val="00150630"/>
    <w:rsid w:val="00152C2F"/>
    <w:rsid w:val="001629AD"/>
    <w:rsid w:val="0016463A"/>
    <w:rsid w:val="00172A17"/>
    <w:rsid w:val="001828B8"/>
    <w:rsid w:val="001851BA"/>
    <w:rsid w:val="001919E9"/>
    <w:rsid w:val="00192A57"/>
    <w:rsid w:val="001950A7"/>
    <w:rsid w:val="00195B0E"/>
    <w:rsid w:val="00196449"/>
    <w:rsid w:val="001A0744"/>
    <w:rsid w:val="001A134E"/>
    <w:rsid w:val="001A168B"/>
    <w:rsid w:val="001A30C1"/>
    <w:rsid w:val="001A4BA1"/>
    <w:rsid w:val="001A63EA"/>
    <w:rsid w:val="001A7876"/>
    <w:rsid w:val="001B3526"/>
    <w:rsid w:val="001C1978"/>
    <w:rsid w:val="001D1439"/>
    <w:rsid w:val="001D2E74"/>
    <w:rsid w:val="001D5EDC"/>
    <w:rsid w:val="001E18E4"/>
    <w:rsid w:val="001E263A"/>
    <w:rsid w:val="001E2F6A"/>
    <w:rsid w:val="001E30AC"/>
    <w:rsid w:val="001E7189"/>
    <w:rsid w:val="001E74E0"/>
    <w:rsid w:val="001F0A18"/>
    <w:rsid w:val="001F374F"/>
    <w:rsid w:val="001F5BCF"/>
    <w:rsid w:val="00205E19"/>
    <w:rsid w:val="00205FBD"/>
    <w:rsid w:val="002072E2"/>
    <w:rsid w:val="002129BD"/>
    <w:rsid w:val="00212F48"/>
    <w:rsid w:val="0021333F"/>
    <w:rsid w:val="00213ECF"/>
    <w:rsid w:val="002145AF"/>
    <w:rsid w:val="002222E8"/>
    <w:rsid w:val="0022501F"/>
    <w:rsid w:val="00231B26"/>
    <w:rsid w:val="00232FDB"/>
    <w:rsid w:val="00234112"/>
    <w:rsid w:val="00234169"/>
    <w:rsid w:val="002378FF"/>
    <w:rsid w:val="00246F93"/>
    <w:rsid w:val="00246FF3"/>
    <w:rsid w:val="00254857"/>
    <w:rsid w:val="002562A2"/>
    <w:rsid w:val="002641AC"/>
    <w:rsid w:val="00264599"/>
    <w:rsid w:val="002652C7"/>
    <w:rsid w:val="0027117A"/>
    <w:rsid w:val="00272F09"/>
    <w:rsid w:val="002733FC"/>
    <w:rsid w:val="00274F31"/>
    <w:rsid w:val="002754B4"/>
    <w:rsid w:val="00275CFD"/>
    <w:rsid w:val="002778D1"/>
    <w:rsid w:val="002779EF"/>
    <w:rsid w:val="00277AD3"/>
    <w:rsid w:val="00281270"/>
    <w:rsid w:val="002812E0"/>
    <w:rsid w:val="00293464"/>
    <w:rsid w:val="002A1C78"/>
    <w:rsid w:val="002B3687"/>
    <w:rsid w:val="002C08F0"/>
    <w:rsid w:val="002C2A5D"/>
    <w:rsid w:val="002C3D6B"/>
    <w:rsid w:val="002D67FC"/>
    <w:rsid w:val="002D7771"/>
    <w:rsid w:val="002D7FEE"/>
    <w:rsid w:val="002E153F"/>
    <w:rsid w:val="002E6137"/>
    <w:rsid w:val="002F4B97"/>
    <w:rsid w:val="002F5A7B"/>
    <w:rsid w:val="002F632C"/>
    <w:rsid w:val="002F6F50"/>
    <w:rsid w:val="00302EC8"/>
    <w:rsid w:val="00304293"/>
    <w:rsid w:val="00305C86"/>
    <w:rsid w:val="00306B93"/>
    <w:rsid w:val="00306CD0"/>
    <w:rsid w:val="003076E3"/>
    <w:rsid w:val="0030777E"/>
    <w:rsid w:val="003078ED"/>
    <w:rsid w:val="003133F2"/>
    <w:rsid w:val="00314B14"/>
    <w:rsid w:val="00314FB0"/>
    <w:rsid w:val="0031650C"/>
    <w:rsid w:val="00317CEA"/>
    <w:rsid w:val="0032229C"/>
    <w:rsid w:val="00323280"/>
    <w:rsid w:val="00324177"/>
    <w:rsid w:val="003379B6"/>
    <w:rsid w:val="00340E38"/>
    <w:rsid w:val="00343F26"/>
    <w:rsid w:val="00345D99"/>
    <w:rsid w:val="00350128"/>
    <w:rsid w:val="00355A66"/>
    <w:rsid w:val="00362A26"/>
    <w:rsid w:val="00362A5B"/>
    <w:rsid w:val="003648A8"/>
    <w:rsid w:val="0037050A"/>
    <w:rsid w:val="00372A22"/>
    <w:rsid w:val="003759C6"/>
    <w:rsid w:val="00376230"/>
    <w:rsid w:val="003762F2"/>
    <w:rsid w:val="003807DC"/>
    <w:rsid w:val="003823E0"/>
    <w:rsid w:val="00384EB3"/>
    <w:rsid w:val="003856DA"/>
    <w:rsid w:val="00387EDA"/>
    <w:rsid w:val="00390768"/>
    <w:rsid w:val="00393E11"/>
    <w:rsid w:val="00395A2D"/>
    <w:rsid w:val="0039658A"/>
    <w:rsid w:val="003B4CB0"/>
    <w:rsid w:val="003B743F"/>
    <w:rsid w:val="003C4274"/>
    <w:rsid w:val="003C4C63"/>
    <w:rsid w:val="003C7222"/>
    <w:rsid w:val="003D256B"/>
    <w:rsid w:val="003D53BA"/>
    <w:rsid w:val="003E1B3C"/>
    <w:rsid w:val="003E2297"/>
    <w:rsid w:val="003E3FB4"/>
    <w:rsid w:val="003E4B61"/>
    <w:rsid w:val="003E5080"/>
    <w:rsid w:val="003F0302"/>
    <w:rsid w:val="003F24CD"/>
    <w:rsid w:val="003F31ED"/>
    <w:rsid w:val="003F79BD"/>
    <w:rsid w:val="00407A80"/>
    <w:rsid w:val="00410D34"/>
    <w:rsid w:val="00413190"/>
    <w:rsid w:val="004139BF"/>
    <w:rsid w:val="0041419B"/>
    <w:rsid w:val="00414852"/>
    <w:rsid w:val="00416B31"/>
    <w:rsid w:val="0042242B"/>
    <w:rsid w:val="00422FDB"/>
    <w:rsid w:val="00423FEB"/>
    <w:rsid w:val="004240E0"/>
    <w:rsid w:val="00424EF0"/>
    <w:rsid w:val="00425E39"/>
    <w:rsid w:val="00425EBC"/>
    <w:rsid w:val="00426C90"/>
    <w:rsid w:val="00432329"/>
    <w:rsid w:val="00432D60"/>
    <w:rsid w:val="004331A0"/>
    <w:rsid w:val="0043421A"/>
    <w:rsid w:val="0043687B"/>
    <w:rsid w:val="00442D9B"/>
    <w:rsid w:val="00460AAA"/>
    <w:rsid w:val="004612B8"/>
    <w:rsid w:val="004622FB"/>
    <w:rsid w:val="00462A26"/>
    <w:rsid w:val="00463D44"/>
    <w:rsid w:val="00466765"/>
    <w:rsid w:val="0047035B"/>
    <w:rsid w:val="00472EF3"/>
    <w:rsid w:val="0047673F"/>
    <w:rsid w:val="00480B92"/>
    <w:rsid w:val="0048301B"/>
    <w:rsid w:val="004862C2"/>
    <w:rsid w:val="00497922"/>
    <w:rsid w:val="004A05C7"/>
    <w:rsid w:val="004A2C83"/>
    <w:rsid w:val="004A5340"/>
    <w:rsid w:val="004A6A59"/>
    <w:rsid w:val="004B4CF7"/>
    <w:rsid w:val="004B6C93"/>
    <w:rsid w:val="004B7918"/>
    <w:rsid w:val="004C1B45"/>
    <w:rsid w:val="004C76AC"/>
    <w:rsid w:val="004D271B"/>
    <w:rsid w:val="004D2D85"/>
    <w:rsid w:val="004D4CED"/>
    <w:rsid w:val="004D75E2"/>
    <w:rsid w:val="004E02F9"/>
    <w:rsid w:val="004E2847"/>
    <w:rsid w:val="004E3154"/>
    <w:rsid w:val="004E3F58"/>
    <w:rsid w:val="004E4ABC"/>
    <w:rsid w:val="004E7102"/>
    <w:rsid w:val="004F014C"/>
    <w:rsid w:val="004F107F"/>
    <w:rsid w:val="004F1745"/>
    <w:rsid w:val="004F344C"/>
    <w:rsid w:val="004F35A1"/>
    <w:rsid w:val="004F41B9"/>
    <w:rsid w:val="004F794E"/>
    <w:rsid w:val="00500764"/>
    <w:rsid w:val="00503138"/>
    <w:rsid w:val="00510547"/>
    <w:rsid w:val="00512302"/>
    <w:rsid w:val="00521D77"/>
    <w:rsid w:val="00522560"/>
    <w:rsid w:val="005329E3"/>
    <w:rsid w:val="005332A2"/>
    <w:rsid w:val="0053555B"/>
    <w:rsid w:val="00541444"/>
    <w:rsid w:val="005429FB"/>
    <w:rsid w:val="00551C0E"/>
    <w:rsid w:val="00552CC6"/>
    <w:rsid w:val="005552D3"/>
    <w:rsid w:val="0056164A"/>
    <w:rsid w:val="00565196"/>
    <w:rsid w:val="00565E5D"/>
    <w:rsid w:val="00571DB6"/>
    <w:rsid w:val="0057524E"/>
    <w:rsid w:val="00583B94"/>
    <w:rsid w:val="00586B9B"/>
    <w:rsid w:val="0058783E"/>
    <w:rsid w:val="00592B1B"/>
    <w:rsid w:val="005A2601"/>
    <w:rsid w:val="005A6381"/>
    <w:rsid w:val="005A710A"/>
    <w:rsid w:val="005B032C"/>
    <w:rsid w:val="005B6D2E"/>
    <w:rsid w:val="005B72EF"/>
    <w:rsid w:val="005C04CC"/>
    <w:rsid w:val="005C2796"/>
    <w:rsid w:val="005C2EED"/>
    <w:rsid w:val="005C6092"/>
    <w:rsid w:val="005C71D3"/>
    <w:rsid w:val="005D00EA"/>
    <w:rsid w:val="005D5BC1"/>
    <w:rsid w:val="005D6A3C"/>
    <w:rsid w:val="005E40D8"/>
    <w:rsid w:val="005E429E"/>
    <w:rsid w:val="005F058D"/>
    <w:rsid w:val="005F1163"/>
    <w:rsid w:val="005F2D0D"/>
    <w:rsid w:val="005F4F8A"/>
    <w:rsid w:val="005F4FAB"/>
    <w:rsid w:val="0060062D"/>
    <w:rsid w:val="00616170"/>
    <w:rsid w:val="006216D4"/>
    <w:rsid w:val="00627AF4"/>
    <w:rsid w:val="00627BE9"/>
    <w:rsid w:val="006314D7"/>
    <w:rsid w:val="00633615"/>
    <w:rsid w:val="00634BC2"/>
    <w:rsid w:val="00642EDF"/>
    <w:rsid w:val="00651353"/>
    <w:rsid w:val="006520A1"/>
    <w:rsid w:val="00662C2B"/>
    <w:rsid w:val="006645F1"/>
    <w:rsid w:val="006805BA"/>
    <w:rsid w:val="006824EB"/>
    <w:rsid w:val="00684010"/>
    <w:rsid w:val="00687B6D"/>
    <w:rsid w:val="006931CD"/>
    <w:rsid w:val="00695CCF"/>
    <w:rsid w:val="006B0D20"/>
    <w:rsid w:val="006C0AC3"/>
    <w:rsid w:val="006C4A05"/>
    <w:rsid w:val="006D1EBE"/>
    <w:rsid w:val="006D22EC"/>
    <w:rsid w:val="006D67CA"/>
    <w:rsid w:val="006E0185"/>
    <w:rsid w:val="006E5EA2"/>
    <w:rsid w:val="006F4A1A"/>
    <w:rsid w:val="006F4BCC"/>
    <w:rsid w:val="007005D8"/>
    <w:rsid w:val="00701C5B"/>
    <w:rsid w:val="007044B1"/>
    <w:rsid w:val="00704A6F"/>
    <w:rsid w:val="0071084F"/>
    <w:rsid w:val="00711C24"/>
    <w:rsid w:val="00716635"/>
    <w:rsid w:val="00716F85"/>
    <w:rsid w:val="00720675"/>
    <w:rsid w:val="007318F9"/>
    <w:rsid w:val="007322D1"/>
    <w:rsid w:val="00736291"/>
    <w:rsid w:val="0074239E"/>
    <w:rsid w:val="00743052"/>
    <w:rsid w:val="007436DE"/>
    <w:rsid w:val="00747E6F"/>
    <w:rsid w:val="00750E06"/>
    <w:rsid w:val="0075614B"/>
    <w:rsid w:val="00761D05"/>
    <w:rsid w:val="00763068"/>
    <w:rsid w:val="0076355B"/>
    <w:rsid w:val="00770AE0"/>
    <w:rsid w:val="00771649"/>
    <w:rsid w:val="00776084"/>
    <w:rsid w:val="00792E27"/>
    <w:rsid w:val="0079363B"/>
    <w:rsid w:val="0079641B"/>
    <w:rsid w:val="007A065F"/>
    <w:rsid w:val="007A35F5"/>
    <w:rsid w:val="007A43F1"/>
    <w:rsid w:val="007B09D9"/>
    <w:rsid w:val="007B1457"/>
    <w:rsid w:val="007B6B5C"/>
    <w:rsid w:val="007B77FE"/>
    <w:rsid w:val="007C11EC"/>
    <w:rsid w:val="007C5047"/>
    <w:rsid w:val="007C6F3D"/>
    <w:rsid w:val="007D44E4"/>
    <w:rsid w:val="007D6394"/>
    <w:rsid w:val="007D7EA5"/>
    <w:rsid w:val="007E1B86"/>
    <w:rsid w:val="007E235B"/>
    <w:rsid w:val="007E780F"/>
    <w:rsid w:val="007E7D98"/>
    <w:rsid w:val="007F0B38"/>
    <w:rsid w:val="007F3DC0"/>
    <w:rsid w:val="007F5794"/>
    <w:rsid w:val="007F6828"/>
    <w:rsid w:val="007F746D"/>
    <w:rsid w:val="008004DB"/>
    <w:rsid w:val="00802A58"/>
    <w:rsid w:val="00811855"/>
    <w:rsid w:val="008147E5"/>
    <w:rsid w:val="00815D1F"/>
    <w:rsid w:val="008166FF"/>
    <w:rsid w:val="00820E43"/>
    <w:rsid w:val="00822206"/>
    <w:rsid w:val="00823575"/>
    <w:rsid w:val="00827B7A"/>
    <w:rsid w:val="008367A9"/>
    <w:rsid w:val="008429E9"/>
    <w:rsid w:val="0084707E"/>
    <w:rsid w:val="008513A2"/>
    <w:rsid w:val="0085208A"/>
    <w:rsid w:val="008546B0"/>
    <w:rsid w:val="0086230B"/>
    <w:rsid w:val="00863E78"/>
    <w:rsid w:val="0086559B"/>
    <w:rsid w:val="00867982"/>
    <w:rsid w:val="00867B3C"/>
    <w:rsid w:val="008708A3"/>
    <w:rsid w:val="00875037"/>
    <w:rsid w:val="0088564E"/>
    <w:rsid w:val="00887198"/>
    <w:rsid w:val="00887766"/>
    <w:rsid w:val="008879EA"/>
    <w:rsid w:val="00891AB2"/>
    <w:rsid w:val="00897E0D"/>
    <w:rsid w:val="008A4C11"/>
    <w:rsid w:val="008B1468"/>
    <w:rsid w:val="008B29B6"/>
    <w:rsid w:val="008C05F0"/>
    <w:rsid w:val="008C2BC6"/>
    <w:rsid w:val="008C5B06"/>
    <w:rsid w:val="008F231B"/>
    <w:rsid w:val="008F5E54"/>
    <w:rsid w:val="008F77C5"/>
    <w:rsid w:val="008F79A0"/>
    <w:rsid w:val="00901551"/>
    <w:rsid w:val="0090231D"/>
    <w:rsid w:val="009024D4"/>
    <w:rsid w:val="0090624A"/>
    <w:rsid w:val="00906849"/>
    <w:rsid w:val="0091022D"/>
    <w:rsid w:val="00917D8B"/>
    <w:rsid w:val="00926A1F"/>
    <w:rsid w:val="00927D3E"/>
    <w:rsid w:val="00931BF7"/>
    <w:rsid w:val="0093416E"/>
    <w:rsid w:val="00935701"/>
    <w:rsid w:val="00941B1D"/>
    <w:rsid w:val="009420F7"/>
    <w:rsid w:val="009464FF"/>
    <w:rsid w:val="00955ECF"/>
    <w:rsid w:val="00962047"/>
    <w:rsid w:val="00966D9C"/>
    <w:rsid w:val="009675FC"/>
    <w:rsid w:val="00974E13"/>
    <w:rsid w:val="0098086F"/>
    <w:rsid w:val="00980E88"/>
    <w:rsid w:val="0098509C"/>
    <w:rsid w:val="0099072A"/>
    <w:rsid w:val="00993357"/>
    <w:rsid w:val="009953BF"/>
    <w:rsid w:val="009A4F08"/>
    <w:rsid w:val="009B04FF"/>
    <w:rsid w:val="009B27DF"/>
    <w:rsid w:val="009B7A9D"/>
    <w:rsid w:val="009C5828"/>
    <w:rsid w:val="009C637A"/>
    <w:rsid w:val="009D4E89"/>
    <w:rsid w:val="009E0F63"/>
    <w:rsid w:val="009E245F"/>
    <w:rsid w:val="009F00C6"/>
    <w:rsid w:val="009F075C"/>
    <w:rsid w:val="009F1913"/>
    <w:rsid w:val="009F3C12"/>
    <w:rsid w:val="009F4058"/>
    <w:rsid w:val="00A033FD"/>
    <w:rsid w:val="00A04806"/>
    <w:rsid w:val="00A05997"/>
    <w:rsid w:val="00A068BD"/>
    <w:rsid w:val="00A104DF"/>
    <w:rsid w:val="00A135A3"/>
    <w:rsid w:val="00A16E73"/>
    <w:rsid w:val="00A24BEB"/>
    <w:rsid w:val="00A2604D"/>
    <w:rsid w:val="00A272D0"/>
    <w:rsid w:val="00A30C39"/>
    <w:rsid w:val="00A321A9"/>
    <w:rsid w:val="00A32F33"/>
    <w:rsid w:val="00A34775"/>
    <w:rsid w:val="00A34F79"/>
    <w:rsid w:val="00A35AB3"/>
    <w:rsid w:val="00A41CFF"/>
    <w:rsid w:val="00A4229C"/>
    <w:rsid w:val="00A43F11"/>
    <w:rsid w:val="00A47E17"/>
    <w:rsid w:val="00A54AFE"/>
    <w:rsid w:val="00A55D12"/>
    <w:rsid w:val="00A57AF3"/>
    <w:rsid w:val="00A64D60"/>
    <w:rsid w:val="00A66DE8"/>
    <w:rsid w:val="00A70641"/>
    <w:rsid w:val="00A7312B"/>
    <w:rsid w:val="00A838F5"/>
    <w:rsid w:val="00A848DF"/>
    <w:rsid w:val="00A87CAF"/>
    <w:rsid w:val="00A90CB0"/>
    <w:rsid w:val="00A91296"/>
    <w:rsid w:val="00A94407"/>
    <w:rsid w:val="00AA153E"/>
    <w:rsid w:val="00AA4099"/>
    <w:rsid w:val="00AA568F"/>
    <w:rsid w:val="00AB13FD"/>
    <w:rsid w:val="00AC003A"/>
    <w:rsid w:val="00AC2B82"/>
    <w:rsid w:val="00AC3EC8"/>
    <w:rsid w:val="00AC5F08"/>
    <w:rsid w:val="00AD03FC"/>
    <w:rsid w:val="00AD22A7"/>
    <w:rsid w:val="00AD6ADB"/>
    <w:rsid w:val="00AE14B6"/>
    <w:rsid w:val="00AE7C3B"/>
    <w:rsid w:val="00AF078E"/>
    <w:rsid w:val="00AF0F84"/>
    <w:rsid w:val="00AF28A4"/>
    <w:rsid w:val="00AF3AF0"/>
    <w:rsid w:val="00AF553C"/>
    <w:rsid w:val="00AF7AE1"/>
    <w:rsid w:val="00B0274B"/>
    <w:rsid w:val="00B1250E"/>
    <w:rsid w:val="00B12E72"/>
    <w:rsid w:val="00B13ADA"/>
    <w:rsid w:val="00B158DE"/>
    <w:rsid w:val="00B24996"/>
    <w:rsid w:val="00B32C60"/>
    <w:rsid w:val="00B50B47"/>
    <w:rsid w:val="00B523F9"/>
    <w:rsid w:val="00B548F4"/>
    <w:rsid w:val="00B6167D"/>
    <w:rsid w:val="00B64EB1"/>
    <w:rsid w:val="00B763FB"/>
    <w:rsid w:val="00B9136B"/>
    <w:rsid w:val="00B94AB4"/>
    <w:rsid w:val="00B95BBB"/>
    <w:rsid w:val="00BA4064"/>
    <w:rsid w:val="00BB168E"/>
    <w:rsid w:val="00BB2314"/>
    <w:rsid w:val="00BB568A"/>
    <w:rsid w:val="00BB67ED"/>
    <w:rsid w:val="00BB6AFF"/>
    <w:rsid w:val="00BB7AD6"/>
    <w:rsid w:val="00BC083C"/>
    <w:rsid w:val="00BC1AD2"/>
    <w:rsid w:val="00BC345B"/>
    <w:rsid w:val="00BC6E95"/>
    <w:rsid w:val="00BD0773"/>
    <w:rsid w:val="00BD49F9"/>
    <w:rsid w:val="00BD4E91"/>
    <w:rsid w:val="00BD7FCD"/>
    <w:rsid w:val="00BE32FE"/>
    <w:rsid w:val="00BE3413"/>
    <w:rsid w:val="00BE3E80"/>
    <w:rsid w:val="00BE7F91"/>
    <w:rsid w:val="00BF25CD"/>
    <w:rsid w:val="00BF6DCB"/>
    <w:rsid w:val="00C03C4C"/>
    <w:rsid w:val="00C0453B"/>
    <w:rsid w:val="00C05B5A"/>
    <w:rsid w:val="00C07CBB"/>
    <w:rsid w:val="00C124E8"/>
    <w:rsid w:val="00C16EAA"/>
    <w:rsid w:val="00C17753"/>
    <w:rsid w:val="00C21515"/>
    <w:rsid w:val="00C24E0C"/>
    <w:rsid w:val="00C30C8B"/>
    <w:rsid w:val="00C328AB"/>
    <w:rsid w:val="00C355E4"/>
    <w:rsid w:val="00C4747F"/>
    <w:rsid w:val="00C520CA"/>
    <w:rsid w:val="00C60C44"/>
    <w:rsid w:val="00C64165"/>
    <w:rsid w:val="00C65783"/>
    <w:rsid w:val="00C6596E"/>
    <w:rsid w:val="00C65B54"/>
    <w:rsid w:val="00C76430"/>
    <w:rsid w:val="00C825A6"/>
    <w:rsid w:val="00C832D1"/>
    <w:rsid w:val="00C84BDB"/>
    <w:rsid w:val="00C84D94"/>
    <w:rsid w:val="00C90F2A"/>
    <w:rsid w:val="00C91877"/>
    <w:rsid w:val="00C91CEF"/>
    <w:rsid w:val="00C92B5B"/>
    <w:rsid w:val="00CA4112"/>
    <w:rsid w:val="00CB09B5"/>
    <w:rsid w:val="00CB1F71"/>
    <w:rsid w:val="00CB6D43"/>
    <w:rsid w:val="00CC2E42"/>
    <w:rsid w:val="00CC3B49"/>
    <w:rsid w:val="00CC5924"/>
    <w:rsid w:val="00CD04AD"/>
    <w:rsid w:val="00CD0967"/>
    <w:rsid w:val="00CD2BFA"/>
    <w:rsid w:val="00CE11CD"/>
    <w:rsid w:val="00CE11E9"/>
    <w:rsid w:val="00CE28D4"/>
    <w:rsid w:val="00CF03E8"/>
    <w:rsid w:val="00CF4037"/>
    <w:rsid w:val="00CF45F2"/>
    <w:rsid w:val="00CF6220"/>
    <w:rsid w:val="00CF7F02"/>
    <w:rsid w:val="00D01775"/>
    <w:rsid w:val="00D01E11"/>
    <w:rsid w:val="00D0493C"/>
    <w:rsid w:val="00D04E9B"/>
    <w:rsid w:val="00D14793"/>
    <w:rsid w:val="00D16D27"/>
    <w:rsid w:val="00D20385"/>
    <w:rsid w:val="00D2525A"/>
    <w:rsid w:val="00D260F0"/>
    <w:rsid w:val="00D301BA"/>
    <w:rsid w:val="00D3058A"/>
    <w:rsid w:val="00D3077D"/>
    <w:rsid w:val="00D32F73"/>
    <w:rsid w:val="00D36A75"/>
    <w:rsid w:val="00D40E1B"/>
    <w:rsid w:val="00D50143"/>
    <w:rsid w:val="00D51B3C"/>
    <w:rsid w:val="00D562BC"/>
    <w:rsid w:val="00D615AE"/>
    <w:rsid w:val="00D67491"/>
    <w:rsid w:val="00D723BF"/>
    <w:rsid w:val="00D73D22"/>
    <w:rsid w:val="00D85AE8"/>
    <w:rsid w:val="00D863CD"/>
    <w:rsid w:val="00D95979"/>
    <w:rsid w:val="00D96833"/>
    <w:rsid w:val="00DA71C7"/>
    <w:rsid w:val="00DB27DB"/>
    <w:rsid w:val="00DB732F"/>
    <w:rsid w:val="00DC097B"/>
    <w:rsid w:val="00DC4732"/>
    <w:rsid w:val="00DC4CED"/>
    <w:rsid w:val="00DD1477"/>
    <w:rsid w:val="00DD2066"/>
    <w:rsid w:val="00DD2C94"/>
    <w:rsid w:val="00DD568D"/>
    <w:rsid w:val="00DD7C22"/>
    <w:rsid w:val="00DE7C0C"/>
    <w:rsid w:val="00DF20CB"/>
    <w:rsid w:val="00DF3B65"/>
    <w:rsid w:val="00DF5087"/>
    <w:rsid w:val="00DF7936"/>
    <w:rsid w:val="00E06395"/>
    <w:rsid w:val="00E1029B"/>
    <w:rsid w:val="00E264D9"/>
    <w:rsid w:val="00E26DC8"/>
    <w:rsid w:val="00E3021F"/>
    <w:rsid w:val="00E30B8D"/>
    <w:rsid w:val="00E330C2"/>
    <w:rsid w:val="00E35BF2"/>
    <w:rsid w:val="00E374FD"/>
    <w:rsid w:val="00E409BF"/>
    <w:rsid w:val="00E411F3"/>
    <w:rsid w:val="00E42E7F"/>
    <w:rsid w:val="00E44ECC"/>
    <w:rsid w:val="00E45E05"/>
    <w:rsid w:val="00E46100"/>
    <w:rsid w:val="00E469B7"/>
    <w:rsid w:val="00E50B58"/>
    <w:rsid w:val="00E525B3"/>
    <w:rsid w:val="00E53C50"/>
    <w:rsid w:val="00E55ACD"/>
    <w:rsid w:val="00E57C3C"/>
    <w:rsid w:val="00E60C66"/>
    <w:rsid w:val="00E622A2"/>
    <w:rsid w:val="00E661EC"/>
    <w:rsid w:val="00E67F01"/>
    <w:rsid w:val="00E72144"/>
    <w:rsid w:val="00E77671"/>
    <w:rsid w:val="00E834B5"/>
    <w:rsid w:val="00E8676A"/>
    <w:rsid w:val="00E87F24"/>
    <w:rsid w:val="00E94729"/>
    <w:rsid w:val="00E95CFF"/>
    <w:rsid w:val="00EA1732"/>
    <w:rsid w:val="00EA58BA"/>
    <w:rsid w:val="00EA75B3"/>
    <w:rsid w:val="00EB6FA4"/>
    <w:rsid w:val="00EC5D24"/>
    <w:rsid w:val="00ED2668"/>
    <w:rsid w:val="00ED35F4"/>
    <w:rsid w:val="00ED4C8E"/>
    <w:rsid w:val="00ED55AC"/>
    <w:rsid w:val="00ED67D9"/>
    <w:rsid w:val="00EE139B"/>
    <w:rsid w:val="00EE3721"/>
    <w:rsid w:val="00EF13B5"/>
    <w:rsid w:val="00EF4314"/>
    <w:rsid w:val="00EF4FF8"/>
    <w:rsid w:val="00EF66D0"/>
    <w:rsid w:val="00F03732"/>
    <w:rsid w:val="00F04B16"/>
    <w:rsid w:val="00F12A4A"/>
    <w:rsid w:val="00F13B38"/>
    <w:rsid w:val="00F14138"/>
    <w:rsid w:val="00F158DA"/>
    <w:rsid w:val="00F16639"/>
    <w:rsid w:val="00F20638"/>
    <w:rsid w:val="00F2494E"/>
    <w:rsid w:val="00F24F9E"/>
    <w:rsid w:val="00F25089"/>
    <w:rsid w:val="00F359D5"/>
    <w:rsid w:val="00F372C0"/>
    <w:rsid w:val="00F373F3"/>
    <w:rsid w:val="00F40C6B"/>
    <w:rsid w:val="00F44B2F"/>
    <w:rsid w:val="00F501C8"/>
    <w:rsid w:val="00F51F21"/>
    <w:rsid w:val="00F524CD"/>
    <w:rsid w:val="00F630B8"/>
    <w:rsid w:val="00F72BB2"/>
    <w:rsid w:val="00F72C05"/>
    <w:rsid w:val="00F74A0C"/>
    <w:rsid w:val="00F76EF1"/>
    <w:rsid w:val="00F80979"/>
    <w:rsid w:val="00F87B5B"/>
    <w:rsid w:val="00F903DD"/>
    <w:rsid w:val="00F955D4"/>
    <w:rsid w:val="00F96C2F"/>
    <w:rsid w:val="00F96CAA"/>
    <w:rsid w:val="00F9700F"/>
    <w:rsid w:val="00FB15C6"/>
    <w:rsid w:val="00FB4E08"/>
    <w:rsid w:val="00FB6145"/>
    <w:rsid w:val="00FB7516"/>
    <w:rsid w:val="00FB7A89"/>
    <w:rsid w:val="00FC0229"/>
    <w:rsid w:val="00FC0FBA"/>
    <w:rsid w:val="00FC1F3B"/>
    <w:rsid w:val="00FC5142"/>
    <w:rsid w:val="00FD747D"/>
    <w:rsid w:val="00FE7B2B"/>
    <w:rsid w:val="00FF1D87"/>
    <w:rsid w:val="00FF33C9"/>
    <w:rsid w:val="00FF34FC"/>
    <w:rsid w:val="00FF3D17"/>
    <w:rsid w:val="00FF49D9"/>
    <w:rsid w:val="00FF5459"/>
    <w:rsid w:val="00FF5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91877"/>
    <w:pPr>
      <w:spacing w:after="0" w:line="240" w:lineRule="auto"/>
      <w:ind w:left="14"/>
    </w:pPr>
    <w:rPr>
      <w:rFonts w:ascii="Arial" w:eastAsia="Times New Roman" w:hAnsi="Arial"/>
      <w:spacing w:val="-5"/>
      <w:sz w:val="16"/>
      <w:szCs w:val="20"/>
      <w:lang w:val="en-US"/>
    </w:rPr>
  </w:style>
  <w:style w:type="paragraph" w:styleId="Header">
    <w:name w:val="header"/>
    <w:basedOn w:val="Normal"/>
    <w:link w:val="HeaderChar"/>
    <w:uiPriority w:val="99"/>
    <w:unhideWhenUsed/>
    <w:rsid w:val="00055821"/>
    <w:pPr>
      <w:tabs>
        <w:tab w:val="center" w:pos="4513"/>
        <w:tab w:val="right" w:pos="9026"/>
      </w:tabs>
    </w:pPr>
  </w:style>
  <w:style w:type="character" w:customStyle="1" w:styleId="HeaderChar">
    <w:name w:val="Header Char"/>
    <w:link w:val="Header"/>
    <w:uiPriority w:val="99"/>
    <w:rsid w:val="00055821"/>
    <w:rPr>
      <w:sz w:val="22"/>
      <w:szCs w:val="22"/>
      <w:lang w:eastAsia="en-US"/>
    </w:rPr>
  </w:style>
  <w:style w:type="paragraph" w:styleId="Footer">
    <w:name w:val="footer"/>
    <w:basedOn w:val="Normal"/>
    <w:link w:val="FooterChar"/>
    <w:uiPriority w:val="99"/>
    <w:unhideWhenUsed/>
    <w:rsid w:val="00055821"/>
    <w:pPr>
      <w:tabs>
        <w:tab w:val="center" w:pos="4513"/>
        <w:tab w:val="right" w:pos="9026"/>
      </w:tabs>
    </w:pPr>
  </w:style>
  <w:style w:type="character" w:customStyle="1" w:styleId="FooterChar">
    <w:name w:val="Footer Char"/>
    <w:link w:val="Footer"/>
    <w:uiPriority w:val="99"/>
    <w:rsid w:val="00055821"/>
    <w:rPr>
      <w:sz w:val="22"/>
      <w:szCs w:val="22"/>
      <w:lang w:eastAsia="en-US"/>
    </w:rPr>
  </w:style>
  <w:style w:type="paragraph" w:styleId="BalloonText">
    <w:name w:val="Balloon Text"/>
    <w:basedOn w:val="Normal"/>
    <w:link w:val="BalloonTextChar"/>
    <w:uiPriority w:val="99"/>
    <w:semiHidden/>
    <w:unhideWhenUsed/>
    <w:rsid w:val="00162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9AD"/>
    <w:rPr>
      <w:rFonts w:ascii="Tahoma" w:hAnsi="Tahoma" w:cs="Tahoma"/>
      <w:sz w:val="16"/>
      <w:szCs w:val="16"/>
      <w:lang w:eastAsia="en-US"/>
    </w:rPr>
  </w:style>
  <w:style w:type="paragraph" w:styleId="BodyTextIndent">
    <w:name w:val="Body Text Indent"/>
    <w:basedOn w:val="Normal"/>
    <w:link w:val="BodyTextIndentChar"/>
    <w:rsid w:val="00293464"/>
    <w:pPr>
      <w:spacing w:after="0" w:line="240" w:lineRule="auto"/>
      <w:ind w:left="720"/>
    </w:pPr>
    <w:rPr>
      <w:rFonts w:ascii="Arial" w:eastAsia="Times New Roman" w:hAnsi="Arial"/>
      <w:sz w:val="20"/>
      <w:szCs w:val="20"/>
    </w:rPr>
  </w:style>
  <w:style w:type="character" w:customStyle="1" w:styleId="BodyTextIndentChar">
    <w:name w:val="Body Text Indent Char"/>
    <w:link w:val="BodyTextIndent"/>
    <w:rsid w:val="00293464"/>
    <w:rPr>
      <w:rFonts w:ascii="Arial" w:eastAsia="Times New Roman" w:hAnsi="Arial"/>
      <w:lang w:eastAsia="en-US"/>
    </w:rPr>
  </w:style>
  <w:style w:type="paragraph" w:customStyle="1" w:styleId="InfoBlue">
    <w:name w:val="InfoBlue"/>
    <w:basedOn w:val="CommentText"/>
    <w:rsid w:val="00293464"/>
    <w:pPr>
      <w:overflowPunct w:val="0"/>
      <w:autoSpaceDE w:val="0"/>
      <w:autoSpaceDN w:val="0"/>
      <w:adjustRightInd w:val="0"/>
      <w:spacing w:before="60" w:after="60" w:line="240" w:lineRule="auto"/>
      <w:textAlignment w:val="baseline"/>
    </w:pPr>
    <w:rPr>
      <w:rFonts w:ascii="Arial" w:eastAsia="Times New Roman" w:hAnsi="Arial"/>
      <w:bCs/>
      <w:i/>
      <w:color w:val="0000FF"/>
      <w:sz w:val="22"/>
      <w:szCs w:val="24"/>
    </w:rPr>
  </w:style>
  <w:style w:type="paragraph" w:styleId="CommentText">
    <w:name w:val="annotation text"/>
    <w:basedOn w:val="Normal"/>
    <w:link w:val="CommentTextChar"/>
    <w:uiPriority w:val="99"/>
    <w:semiHidden/>
    <w:unhideWhenUsed/>
    <w:rsid w:val="00293464"/>
    <w:rPr>
      <w:sz w:val="20"/>
      <w:szCs w:val="20"/>
    </w:rPr>
  </w:style>
  <w:style w:type="character" w:customStyle="1" w:styleId="CommentTextChar">
    <w:name w:val="Comment Text Char"/>
    <w:link w:val="CommentText"/>
    <w:uiPriority w:val="99"/>
    <w:semiHidden/>
    <w:rsid w:val="00293464"/>
    <w:rPr>
      <w:lang w:eastAsia="en-US"/>
    </w:rPr>
  </w:style>
  <w:style w:type="table" w:styleId="TableGrid">
    <w:name w:val="Table Grid"/>
    <w:basedOn w:val="TableNormal"/>
    <w:uiPriority w:val="59"/>
    <w:rsid w:val="00A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teBPPNormal">
    <w:name w:val="Resite_BPP_Normal"/>
    <w:aliases w:val="resite_bpp_normal,resitebppnormal"/>
    <w:basedOn w:val="Normal"/>
    <w:rsid w:val="00863E78"/>
    <w:pPr>
      <w:spacing w:after="0" w:line="240" w:lineRule="auto"/>
    </w:pPr>
    <w:rPr>
      <w:rFonts w:ascii="Arial" w:eastAsia="Times New Roman" w:hAnsi="Arial" w:cs="Arial"/>
      <w:sz w:val="20"/>
      <w:szCs w:val="20"/>
      <w:lang w:val="en-US"/>
    </w:rPr>
  </w:style>
  <w:style w:type="paragraph" w:styleId="ListParagraph">
    <w:name w:val="List Paragraph"/>
    <w:basedOn w:val="Normal"/>
    <w:qFormat/>
    <w:rsid w:val="00863E78"/>
    <w:pPr>
      <w:spacing w:after="0" w:line="288" w:lineRule="auto"/>
      <w:ind w:left="720"/>
    </w:pPr>
    <w:rPr>
      <w:rFonts w:ascii="Arial" w:eastAsia="Times New Roman" w:hAnsi="Arial" w:cs="Arial"/>
      <w:sz w:val="24"/>
      <w:szCs w:val="24"/>
      <w:lang w:eastAsia="en-GB"/>
    </w:rPr>
  </w:style>
  <w:style w:type="character" w:styleId="PageNumber">
    <w:name w:val="page number"/>
    <w:basedOn w:val="DefaultParagraphFont"/>
    <w:rsid w:val="00124950"/>
  </w:style>
  <w:style w:type="character" w:styleId="CommentReference">
    <w:name w:val="annotation reference"/>
    <w:uiPriority w:val="99"/>
    <w:rsid w:val="008546B0"/>
    <w:rPr>
      <w:sz w:val="16"/>
      <w:szCs w:val="16"/>
    </w:rPr>
  </w:style>
  <w:style w:type="paragraph" w:styleId="CommentSubject">
    <w:name w:val="annotation subject"/>
    <w:basedOn w:val="CommentText"/>
    <w:next w:val="CommentText"/>
    <w:semiHidden/>
    <w:rsid w:val="008546B0"/>
    <w:rPr>
      <w:b/>
      <w:bCs/>
    </w:rPr>
  </w:style>
  <w:style w:type="paragraph" w:styleId="FootnoteText">
    <w:name w:val="footnote text"/>
    <w:basedOn w:val="Normal"/>
    <w:rsid w:val="001D5EDC"/>
    <w:pPr>
      <w:spacing w:after="0" w:line="240" w:lineRule="auto"/>
    </w:pPr>
    <w:rPr>
      <w:rFonts w:ascii="Times New Roman" w:eastAsia="Times New Roman" w:hAnsi="Times New Roman"/>
      <w:sz w:val="20"/>
      <w:szCs w:val="20"/>
    </w:rPr>
  </w:style>
  <w:style w:type="character" w:styleId="FootnoteReference">
    <w:name w:val="footnote reference"/>
    <w:rsid w:val="001D5EDC"/>
    <w:rPr>
      <w:vertAlign w:val="superscript"/>
    </w:rPr>
  </w:style>
  <w:style w:type="paragraph" w:styleId="Caption">
    <w:name w:val="caption"/>
    <w:basedOn w:val="Normal"/>
    <w:next w:val="Normal"/>
    <w:uiPriority w:val="35"/>
    <w:qFormat/>
    <w:rsid w:val="003C7222"/>
    <w:rPr>
      <w:b/>
      <w:bCs/>
      <w:sz w:val="20"/>
      <w:szCs w:val="20"/>
    </w:rPr>
  </w:style>
  <w:style w:type="paragraph" w:styleId="Revision">
    <w:name w:val="Revision"/>
    <w:hidden/>
    <w:uiPriority w:val="99"/>
    <w:semiHidden/>
    <w:rsid w:val="00DF5087"/>
    <w:rPr>
      <w:sz w:val="22"/>
      <w:szCs w:val="22"/>
      <w:lang w:eastAsia="en-US"/>
    </w:rPr>
  </w:style>
  <w:style w:type="paragraph" w:customStyle="1" w:styleId="Style11ptAfter6pt">
    <w:name w:val="Style 11 pt After:  6 pt"/>
    <w:basedOn w:val="Normal"/>
    <w:rsid w:val="000821C7"/>
    <w:pPr>
      <w:spacing w:before="60" w:after="120" w:line="240" w:lineRule="auto"/>
    </w:pPr>
    <w:rPr>
      <w:rFonts w:ascii="Arial" w:eastAsia="Times New Roman" w:hAnsi="Arial"/>
      <w:szCs w:val="20"/>
      <w:lang w:eastAsia="en-GB"/>
    </w:rPr>
  </w:style>
  <w:style w:type="character" w:styleId="Hyperlink">
    <w:name w:val="Hyperlink"/>
    <w:uiPriority w:val="99"/>
    <w:unhideWhenUsed/>
    <w:rsid w:val="007C5047"/>
    <w:rPr>
      <w:color w:val="0000FF"/>
      <w:u w:val="single"/>
    </w:rPr>
  </w:style>
  <w:style w:type="character" w:styleId="FollowedHyperlink">
    <w:name w:val="FollowedHyperlink"/>
    <w:uiPriority w:val="99"/>
    <w:semiHidden/>
    <w:unhideWhenUsed/>
    <w:rsid w:val="00A135A3"/>
    <w:rPr>
      <w:color w:val="800080"/>
      <w:u w:val="single"/>
    </w:rPr>
  </w:style>
  <w:style w:type="paragraph" w:customStyle="1" w:styleId="Default">
    <w:name w:val="Default"/>
    <w:rsid w:val="00246F93"/>
    <w:pPr>
      <w:autoSpaceDE w:val="0"/>
      <w:autoSpaceDN w:val="0"/>
      <w:adjustRightInd w:val="0"/>
    </w:pPr>
    <w:rPr>
      <w:rFonts w:cs="Calibri"/>
      <w:color w:val="000000"/>
      <w:sz w:val="24"/>
      <w:szCs w:val="24"/>
    </w:rPr>
  </w:style>
  <w:style w:type="paragraph" w:customStyle="1" w:styleId="mainheading">
    <w:name w:val="main heading"/>
    <w:basedOn w:val="Normal"/>
    <w:autoRedefine/>
    <w:rsid w:val="00DD2C94"/>
    <w:pPr>
      <w:spacing w:after="0" w:line="240" w:lineRule="auto"/>
      <w:jc w:val="both"/>
    </w:pPr>
    <w:rPr>
      <w:rFonts w:ascii="Arial" w:eastAsia="Times New Roman" w:hAnsi="Arial" w:cs="Arial"/>
      <w:bCs/>
      <w:sz w:val="24"/>
      <w:szCs w:val="24"/>
    </w:rPr>
  </w:style>
  <w:style w:type="paragraph" w:styleId="ListNumber">
    <w:name w:val="List Number"/>
    <w:basedOn w:val="Normal"/>
    <w:rsid w:val="00DD2C94"/>
    <w:pPr>
      <w:spacing w:after="240" w:line="240" w:lineRule="atLeast"/>
    </w:pPr>
    <w:rPr>
      <w:rFonts w:ascii="Arial" w:eastAsia="Times New Roman" w:hAnsi="Arial"/>
      <w:sz w:val="20"/>
      <w:szCs w:val="20"/>
    </w:rPr>
  </w:style>
  <w:style w:type="table" w:styleId="LightShading-Accent3">
    <w:name w:val="Light Shading Accent 3"/>
    <w:basedOn w:val="TableNormal"/>
    <w:uiPriority w:val="60"/>
    <w:rsid w:val="003E3FB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EF13B5"/>
    <w:rPr>
      <w:rFonts w:ascii="Times New Roman" w:hAnsi="Times New Roman"/>
      <w:sz w:val="24"/>
      <w:szCs w:val="24"/>
    </w:rPr>
  </w:style>
  <w:style w:type="paragraph" w:styleId="NoSpacing">
    <w:name w:val="No Spacing"/>
    <w:uiPriority w:val="1"/>
    <w:qFormat/>
    <w:rsid w:val="00586B9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0C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C91877"/>
    <w:pPr>
      <w:spacing w:after="0" w:line="240" w:lineRule="auto"/>
      <w:ind w:left="14"/>
    </w:pPr>
    <w:rPr>
      <w:rFonts w:ascii="Arial" w:eastAsia="Times New Roman" w:hAnsi="Arial"/>
      <w:spacing w:val="-5"/>
      <w:sz w:val="16"/>
      <w:szCs w:val="20"/>
      <w:lang w:val="en-US"/>
    </w:rPr>
  </w:style>
  <w:style w:type="paragraph" w:styleId="Header">
    <w:name w:val="header"/>
    <w:basedOn w:val="Normal"/>
    <w:link w:val="HeaderChar"/>
    <w:uiPriority w:val="99"/>
    <w:unhideWhenUsed/>
    <w:rsid w:val="00055821"/>
    <w:pPr>
      <w:tabs>
        <w:tab w:val="center" w:pos="4513"/>
        <w:tab w:val="right" w:pos="9026"/>
      </w:tabs>
    </w:pPr>
  </w:style>
  <w:style w:type="character" w:customStyle="1" w:styleId="HeaderChar">
    <w:name w:val="Header Char"/>
    <w:link w:val="Header"/>
    <w:uiPriority w:val="99"/>
    <w:rsid w:val="00055821"/>
    <w:rPr>
      <w:sz w:val="22"/>
      <w:szCs w:val="22"/>
      <w:lang w:eastAsia="en-US"/>
    </w:rPr>
  </w:style>
  <w:style w:type="paragraph" w:styleId="Footer">
    <w:name w:val="footer"/>
    <w:basedOn w:val="Normal"/>
    <w:link w:val="FooterChar"/>
    <w:uiPriority w:val="99"/>
    <w:unhideWhenUsed/>
    <w:rsid w:val="00055821"/>
    <w:pPr>
      <w:tabs>
        <w:tab w:val="center" w:pos="4513"/>
        <w:tab w:val="right" w:pos="9026"/>
      </w:tabs>
    </w:pPr>
  </w:style>
  <w:style w:type="character" w:customStyle="1" w:styleId="FooterChar">
    <w:name w:val="Footer Char"/>
    <w:link w:val="Footer"/>
    <w:uiPriority w:val="99"/>
    <w:rsid w:val="00055821"/>
    <w:rPr>
      <w:sz w:val="22"/>
      <w:szCs w:val="22"/>
      <w:lang w:eastAsia="en-US"/>
    </w:rPr>
  </w:style>
  <w:style w:type="paragraph" w:styleId="BalloonText">
    <w:name w:val="Balloon Text"/>
    <w:basedOn w:val="Normal"/>
    <w:link w:val="BalloonTextChar"/>
    <w:uiPriority w:val="99"/>
    <w:semiHidden/>
    <w:unhideWhenUsed/>
    <w:rsid w:val="00162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629AD"/>
    <w:rPr>
      <w:rFonts w:ascii="Tahoma" w:hAnsi="Tahoma" w:cs="Tahoma"/>
      <w:sz w:val="16"/>
      <w:szCs w:val="16"/>
      <w:lang w:eastAsia="en-US"/>
    </w:rPr>
  </w:style>
  <w:style w:type="paragraph" w:styleId="BodyTextIndent">
    <w:name w:val="Body Text Indent"/>
    <w:basedOn w:val="Normal"/>
    <w:link w:val="BodyTextIndentChar"/>
    <w:rsid w:val="00293464"/>
    <w:pPr>
      <w:spacing w:after="0" w:line="240" w:lineRule="auto"/>
      <w:ind w:left="720"/>
    </w:pPr>
    <w:rPr>
      <w:rFonts w:ascii="Arial" w:eastAsia="Times New Roman" w:hAnsi="Arial"/>
      <w:sz w:val="20"/>
      <w:szCs w:val="20"/>
    </w:rPr>
  </w:style>
  <w:style w:type="character" w:customStyle="1" w:styleId="BodyTextIndentChar">
    <w:name w:val="Body Text Indent Char"/>
    <w:link w:val="BodyTextIndent"/>
    <w:rsid w:val="00293464"/>
    <w:rPr>
      <w:rFonts w:ascii="Arial" w:eastAsia="Times New Roman" w:hAnsi="Arial"/>
      <w:lang w:eastAsia="en-US"/>
    </w:rPr>
  </w:style>
  <w:style w:type="paragraph" w:customStyle="1" w:styleId="InfoBlue">
    <w:name w:val="InfoBlue"/>
    <w:basedOn w:val="CommentText"/>
    <w:rsid w:val="00293464"/>
    <w:pPr>
      <w:overflowPunct w:val="0"/>
      <w:autoSpaceDE w:val="0"/>
      <w:autoSpaceDN w:val="0"/>
      <w:adjustRightInd w:val="0"/>
      <w:spacing w:before="60" w:after="60" w:line="240" w:lineRule="auto"/>
      <w:textAlignment w:val="baseline"/>
    </w:pPr>
    <w:rPr>
      <w:rFonts w:ascii="Arial" w:eastAsia="Times New Roman" w:hAnsi="Arial"/>
      <w:bCs/>
      <w:i/>
      <w:color w:val="0000FF"/>
      <w:sz w:val="22"/>
      <w:szCs w:val="24"/>
    </w:rPr>
  </w:style>
  <w:style w:type="paragraph" w:styleId="CommentText">
    <w:name w:val="annotation text"/>
    <w:basedOn w:val="Normal"/>
    <w:link w:val="CommentTextChar"/>
    <w:uiPriority w:val="99"/>
    <w:semiHidden/>
    <w:unhideWhenUsed/>
    <w:rsid w:val="00293464"/>
    <w:rPr>
      <w:sz w:val="20"/>
      <w:szCs w:val="20"/>
    </w:rPr>
  </w:style>
  <w:style w:type="character" w:customStyle="1" w:styleId="CommentTextChar">
    <w:name w:val="Comment Text Char"/>
    <w:link w:val="CommentText"/>
    <w:uiPriority w:val="99"/>
    <w:semiHidden/>
    <w:rsid w:val="00293464"/>
    <w:rPr>
      <w:lang w:eastAsia="en-US"/>
    </w:rPr>
  </w:style>
  <w:style w:type="table" w:styleId="TableGrid">
    <w:name w:val="Table Grid"/>
    <w:basedOn w:val="TableNormal"/>
    <w:uiPriority w:val="59"/>
    <w:rsid w:val="00A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teBPPNormal">
    <w:name w:val="Resite_BPP_Normal"/>
    <w:aliases w:val="resite_bpp_normal,resitebppnormal"/>
    <w:basedOn w:val="Normal"/>
    <w:rsid w:val="00863E78"/>
    <w:pPr>
      <w:spacing w:after="0" w:line="240" w:lineRule="auto"/>
    </w:pPr>
    <w:rPr>
      <w:rFonts w:ascii="Arial" w:eastAsia="Times New Roman" w:hAnsi="Arial" w:cs="Arial"/>
      <w:sz w:val="20"/>
      <w:szCs w:val="20"/>
      <w:lang w:val="en-US"/>
    </w:rPr>
  </w:style>
  <w:style w:type="paragraph" w:styleId="ListParagraph">
    <w:name w:val="List Paragraph"/>
    <w:basedOn w:val="Normal"/>
    <w:qFormat/>
    <w:rsid w:val="00863E78"/>
    <w:pPr>
      <w:spacing w:after="0" w:line="288" w:lineRule="auto"/>
      <w:ind w:left="720"/>
    </w:pPr>
    <w:rPr>
      <w:rFonts w:ascii="Arial" w:eastAsia="Times New Roman" w:hAnsi="Arial" w:cs="Arial"/>
      <w:sz w:val="24"/>
      <w:szCs w:val="24"/>
      <w:lang w:eastAsia="en-GB"/>
    </w:rPr>
  </w:style>
  <w:style w:type="character" w:styleId="PageNumber">
    <w:name w:val="page number"/>
    <w:basedOn w:val="DefaultParagraphFont"/>
    <w:rsid w:val="00124950"/>
  </w:style>
  <w:style w:type="character" w:styleId="CommentReference">
    <w:name w:val="annotation reference"/>
    <w:uiPriority w:val="99"/>
    <w:rsid w:val="008546B0"/>
    <w:rPr>
      <w:sz w:val="16"/>
      <w:szCs w:val="16"/>
    </w:rPr>
  </w:style>
  <w:style w:type="paragraph" w:styleId="CommentSubject">
    <w:name w:val="annotation subject"/>
    <w:basedOn w:val="CommentText"/>
    <w:next w:val="CommentText"/>
    <w:semiHidden/>
    <w:rsid w:val="008546B0"/>
    <w:rPr>
      <w:b/>
      <w:bCs/>
    </w:rPr>
  </w:style>
  <w:style w:type="paragraph" w:styleId="FootnoteText">
    <w:name w:val="footnote text"/>
    <w:basedOn w:val="Normal"/>
    <w:rsid w:val="001D5EDC"/>
    <w:pPr>
      <w:spacing w:after="0" w:line="240" w:lineRule="auto"/>
    </w:pPr>
    <w:rPr>
      <w:rFonts w:ascii="Times New Roman" w:eastAsia="Times New Roman" w:hAnsi="Times New Roman"/>
      <w:sz w:val="20"/>
      <w:szCs w:val="20"/>
    </w:rPr>
  </w:style>
  <w:style w:type="character" w:styleId="FootnoteReference">
    <w:name w:val="footnote reference"/>
    <w:rsid w:val="001D5EDC"/>
    <w:rPr>
      <w:vertAlign w:val="superscript"/>
    </w:rPr>
  </w:style>
  <w:style w:type="paragraph" w:styleId="Caption">
    <w:name w:val="caption"/>
    <w:basedOn w:val="Normal"/>
    <w:next w:val="Normal"/>
    <w:uiPriority w:val="35"/>
    <w:qFormat/>
    <w:rsid w:val="003C7222"/>
    <w:rPr>
      <w:b/>
      <w:bCs/>
      <w:sz w:val="20"/>
      <w:szCs w:val="20"/>
    </w:rPr>
  </w:style>
  <w:style w:type="paragraph" w:styleId="Revision">
    <w:name w:val="Revision"/>
    <w:hidden/>
    <w:uiPriority w:val="99"/>
    <w:semiHidden/>
    <w:rsid w:val="00DF5087"/>
    <w:rPr>
      <w:sz w:val="22"/>
      <w:szCs w:val="22"/>
      <w:lang w:eastAsia="en-US"/>
    </w:rPr>
  </w:style>
  <w:style w:type="paragraph" w:customStyle="1" w:styleId="Style11ptAfter6pt">
    <w:name w:val="Style 11 pt After:  6 pt"/>
    <w:basedOn w:val="Normal"/>
    <w:rsid w:val="000821C7"/>
    <w:pPr>
      <w:spacing w:before="60" w:after="120" w:line="240" w:lineRule="auto"/>
    </w:pPr>
    <w:rPr>
      <w:rFonts w:ascii="Arial" w:eastAsia="Times New Roman" w:hAnsi="Arial"/>
      <w:szCs w:val="20"/>
      <w:lang w:eastAsia="en-GB"/>
    </w:rPr>
  </w:style>
  <w:style w:type="character" w:styleId="Hyperlink">
    <w:name w:val="Hyperlink"/>
    <w:uiPriority w:val="99"/>
    <w:unhideWhenUsed/>
    <w:rsid w:val="007C5047"/>
    <w:rPr>
      <w:color w:val="0000FF"/>
      <w:u w:val="single"/>
    </w:rPr>
  </w:style>
  <w:style w:type="character" w:styleId="FollowedHyperlink">
    <w:name w:val="FollowedHyperlink"/>
    <w:uiPriority w:val="99"/>
    <w:semiHidden/>
    <w:unhideWhenUsed/>
    <w:rsid w:val="00A135A3"/>
    <w:rPr>
      <w:color w:val="800080"/>
      <w:u w:val="single"/>
    </w:rPr>
  </w:style>
  <w:style w:type="paragraph" w:customStyle="1" w:styleId="Default">
    <w:name w:val="Default"/>
    <w:rsid w:val="00246F93"/>
    <w:pPr>
      <w:autoSpaceDE w:val="0"/>
      <w:autoSpaceDN w:val="0"/>
      <w:adjustRightInd w:val="0"/>
    </w:pPr>
    <w:rPr>
      <w:rFonts w:cs="Calibri"/>
      <w:color w:val="000000"/>
      <w:sz w:val="24"/>
      <w:szCs w:val="24"/>
    </w:rPr>
  </w:style>
  <w:style w:type="paragraph" w:customStyle="1" w:styleId="mainheading">
    <w:name w:val="main heading"/>
    <w:basedOn w:val="Normal"/>
    <w:autoRedefine/>
    <w:rsid w:val="00DD2C94"/>
    <w:pPr>
      <w:spacing w:after="0" w:line="240" w:lineRule="auto"/>
      <w:jc w:val="both"/>
    </w:pPr>
    <w:rPr>
      <w:rFonts w:ascii="Arial" w:eastAsia="Times New Roman" w:hAnsi="Arial" w:cs="Arial"/>
      <w:bCs/>
      <w:sz w:val="24"/>
      <w:szCs w:val="24"/>
    </w:rPr>
  </w:style>
  <w:style w:type="paragraph" w:styleId="ListNumber">
    <w:name w:val="List Number"/>
    <w:basedOn w:val="Normal"/>
    <w:rsid w:val="00DD2C94"/>
    <w:pPr>
      <w:spacing w:after="240" w:line="240" w:lineRule="atLeast"/>
    </w:pPr>
    <w:rPr>
      <w:rFonts w:ascii="Arial" w:eastAsia="Times New Roman" w:hAnsi="Arial"/>
      <w:sz w:val="20"/>
      <w:szCs w:val="20"/>
    </w:rPr>
  </w:style>
  <w:style w:type="table" w:styleId="LightShading-Accent3">
    <w:name w:val="Light Shading Accent 3"/>
    <w:basedOn w:val="TableNormal"/>
    <w:uiPriority w:val="60"/>
    <w:rsid w:val="003E3FB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rmalWeb">
    <w:name w:val="Normal (Web)"/>
    <w:basedOn w:val="Normal"/>
    <w:uiPriority w:val="99"/>
    <w:semiHidden/>
    <w:unhideWhenUsed/>
    <w:rsid w:val="00EF13B5"/>
    <w:rPr>
      <w:rFonts w:ascii="Times New Roman" w:hAnsi="Times New Roman"/>
      <w:sz w:val="24"/>
      <w:szCs w:val="24"/>
    </w:rPr>
  </w:style>
  <w:style w:type="paragraph" w:styleId="NoSpacing">
    <w:name w:val="No Spacing"/>
    <w:uiPriority w:val="1"/>
    <w:qFormat/>
    <w:rsid w:val="00586B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524">
      <w:bodyDiv w:val="1"/>
      <w:marLeft w:val="0"/>
      <w:marRight w:val="0"/>
      <w:marTop w:val="0"/>
      <w:marBottom w:val="0"/>
      <w:divBdr>
        <w:top w:val="none" w:sz="0" w:space="0" w:color="auto"/>
        <w:left w:val="none" w:sz="0" w:space="0" w:color="auto"/>
        <w:bottom w:val="none" w:sz="0" w:space="0" w:color="auto"/>
        <w:right w:val="none" w:sz="0" w:space="0" w:color="auto"/>
      </w:divBdr>
    </w:div>
    <w:div w:id="179466988">
      <w:bodyDiv w:val="1"/>
      <w:marLeft w:val="0"/>
      <w:marRight w:val="0"/>
      <w:marTop w:val="0"/>
      <w:marBottom w:val="0"/>
      <w:divBdr>
        <w:top w:val="none" w:sz="0" w:space="0" w:color="auto"/>
        <w:left w:val="none" w:sz="0" w:space="0" w:color="auto"/>
        <w:bottom w:val="none" w:sz="0" w:space="0" w:color="auto"/>
        <w:right w:val="none" w:sz="0" w:space="0" w:color="auto"/>
      </w:divBdr>
    </w:div>
    <w:div w:id="212160812">
      <w:bodyDiv w:val="1"/>
      <w:marLeft w:val="0"/>
      <w:marRight w:val="0"/>
      <w:marTop w:val="0"/>
      <w:marBottom w:val="0"/>
      <w:divBdr>
        <w:top w:val="none" w:sz="0" w:space="0" w:color="auto"/>
        <w:left w:val="none" w:sz="0" w:space="0" w:color="auto"/>
        <w:bottom w:val="none" w:sz="0" w:space="0" w:color="auto"/>
        <w:right w:val="none" w:sz="0" w:space="0" w:color="auto"/>
      </w:divBdr>
    </w:div>
    <w:div w:id="622931399">
      <w:bodyDiv w:val="1"/>
      <w:marLeft w:val="0"/>
      <w:marRight w:val="0"/>
      <w:marTop w:val="0"/>
      <w:marBottom w:val="0"/>
      <w:divBdr>
        <w:top w:val="none" w:sz="0" w:space="0" w:color="auto"/>
        <w:left w:val="none" w:sz="0" w:space="0" w:color="auto"/>
        <w:bottom w:val="none" w:sz="0" w:space="0" w:color="auto"/>
        <w:right w:val="none" w:sz="0" w:space="0" w:color="auto"/>
      </w:divBdr>
      <w:divsChild>
        <w:div w:id="961496300">
          <w:marLeft w:val="0"/>
          <w:marRight w:val="0"/>
          <w:marTop w:val="0"/>
          <w:marBottom w:val="0"/>
          <w:divBdr>
            <w:top w:val="none" w:sz="0" w:space="0" w:color="auto"/>
            <w:left w:val="none" w:sz="0" w:space="0" w:color="auto"/>
            <w:bottom w:val="none" w:sz="0" w:space="0" w:color="auto"/>
            <w:right w:val="none" w:sz="0" w:space="0" w:color="auto"/>
          </w:divBdr>
          <w:divsChild>
            <w:div w:id="1886866956">
              <w:marLeft w:val="0"/>
              <w:marRight w:val="0"/>
              <w:marTop w:val="0"/>
              <w:marBottom w:val="0"/>
              <w:divBdr>
                <w:top w:val="none" w:sz="0" w:space="0" w:color="auto"/>
                <w:left w:val="none" w:sz="0" w:space="0" w:color="auto"/>
                <w:bottom w:val="none" w:sz="0" w:space="0" w:color="auto"/>
                <w:right w:val="none" w:sz="0" w:space="0" w:color="auto"/>
              </w:divBdr>
              <w:divsChild>
                <w:div w:id="1284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775165">
      <w:bodyDiv w:val="1"/>
      <w:marLeft w:val="0"/>
      <w:marRight w:val="0"/>
      <w:marTop w:val="0"/>
      <w:marBottom w:val="0"/>
      <w:divBdr>
        <w:top w:val="none" w:sz="0" w:space="0" w:color="auto"/>
        <w:left w:val="none" w:sz="0" w:space="0" w:color="auto"/>
        <w:bottom w:val="none" w:sz="0" w:space="0" w:color="auto"/>
        <w:right w:val="none" w:sz="0" w:space="0" w:color="auto"/>
      </w:divBdr>
    </w:div>
    <w:div w:id="780956223">
      <w:bodyDiv w:val="1"/>
      <w:marLeft w:val="0"/>
      <w:marRight w:val="0"/>
      <w:marTop w:val="0"/>
      <w:marBottom w:val="0"/>
      <w:divBdr>
        <w:top w:val="none" w:sz="0" w:space="0" w:color="auto"/>
        <w:left w:val="none" w:sz="0" w:space="0" w:color="auto"/>
        <w:bottom w:val="none" w:sz="0" w:space="0" w:color="auto"/>
        <w:right w:val="none" w:sz="0" w:space="0" w:color="auto"/>
      </w:divBdr>
    </w:div>
    <w:div w:id="825972706">
      <w:bodyDiv w:val="1"/>
      <w:marLeft w:val="0"/>
      <w:marRight w:val="0"/>
      <w:marTop w:val="0"/>
      <w:marBottom w:val="0"/>
      <w:divBdr>
        <w:top w:val="none" w:sz="0" w:space="0" w:color="auto"/>
        <w:left w:val="none" w:sz="0" w:space="0" w:color="auto"/>
        <w:bottom w:val="none" w:sz="0" w:space="0" w:color="auto"/>
        <w:right w:val="none" w:sz="0" w:space="0" w:color="auto"/>
      </w:divBdr>
    </w:div>
    <w:div w:id="926501161">
      <w:bodyDiv w:val="1"/>
      <w:marLeft w:val="0"/>
      <w:marRight w:val="0"/>
      <w:marTop w:val="0"/>
      <w:marBottom w:val="0"/>
      <w:divBdr>
        <w:top w:val="none" w:sz="0" w:space="0" w:color="auto"/>
        <w:left w:val="none" w:sz="0" w:space="0" w:color="auto"/>
        <w:bottom w:val="none" w:sz="0" w:space="0" w:color="auto"/>
        <w:right w:val="none" w:sz="0" w:space="0" w:color="auto"/>
      </w:divBdr>
    </w:div>
    <w:div w:id="930820126">
      <w:bodyDiv w:val="1"/>
      <w:marLeft w:val="0"/>
      <w:marRight w:val="0"/>
      <w:marTop w:val="0"/>
      <w:marBottom w:val="0"/>
      <w:divBdr>
        <w:top w:val="none" w:sz="0" w:space="0" w:color="auto"/>
        <w:left w:val="none" w:sz="0" w:space="0" w:color="auto"/>
        <w:bottom w:val="none" w:sz="0" w:space="0" w:color="auto"/>
        <w:right w:val="none" w:sz="0" w:space="0" w:color="auto"/>
      </w:divBdr>
    </w:div>
    <w:div w:id="934752120">
      <w:bodyDiv w:val="1"/>
      <w:marLeft w:val="0"/>
      <w:marRight w:val="0"/>
      <w:marTop w:val="0"/>
      <w:marBottom w:val="0"/>
      <w:divBdr>
        <w:top w:val="none" w:sz="0" w:space="0" w:color="auto"/>
        <w:left w:val="none" w:sz="0" w:space="0" w:color="auto"/>
        <w:bottom w:val="none" w:sz="0" w:space="0" w:color="auto"/>
        <w:right w:val="none" w:sz="0" w:space="0" w:color="auto"/>
      </w:divBdr>
    </w:div>
    <w:div w:id="1196574366">
      <w:bodyDiv w:val="1"/>
      <w:marLeft w:val="0"/>
      <w:marRight w:val="0"/>
      <w:marTop w:val="0"/>
      <w:marBottom w:val="0"/>
      <w:divBdr>
        <w:top w:val="none" w:sz="0" w:space="0" w:color="auto"/>
        <w:left w:val="none" w:sz="0" w:space="0" w:color="auto"/>
        <w:bottom w:val="none" w:sz="0" w:space="0" w:color="auto"/>
        <w:right w:val="none" w:sz="0" w:space="0" w:color="auto"/>
      </w:divBdr>
    </w:div>
    <w:div w:id="1216159540">
      <w:bodyDiv w:val="1"/>
      <w:marLeft w:val="0"/>
      <w:marRight w:val="0"/>
      <w:marTop w:val="0"/>
      <w:marBottom w:val="0"/>
      <w:divBdr>
        <w:top w:val="none" w:sz="0" w:space="0" w:color="auto"/>
        <w:left w:val="none" w:sz="0" w:space="0" w:color="auto"/>
        <w:bottom w:val="none" w:sz="0" w:space="0" w:color="auto"/>
        <w:right w:val="none" w:sz="0" w:space="0" w:color="auto"/>
      </w:divBdr>
    </w:div>
    <w:div w:id="1684475107">
      <w:bodyDiv w:val="1"/>
      <w:marLeft w:val="0"/>
      <w:marRight w:val="0"/>
      <w:marTop w:val="0"/>
      <w:marBottom w:val="0"/>
      <w:divBdr>
        <w:top w:val="none" w:sz="0" w:space="0" w:color="auto"/>
        <w:left w:val="none" w:sz="0" w:space="0" w:color="auto"/>
        <w:bottom w:val="none" w:sz="0" w:space="0" w:color="auto"/>
        <w:right w:val="none" w:sz="0" w:space="0" w:color="auto"/>
      </w:divBdr>
    </w:div>
    <w:div w:id="1685551433">
      <w:bodyDiv w:val="1"/>
      <w:marLeft w:val="0"/>
      <w:marRight w:val="0"/>
      <w:marTop w:val="0"/>
      <w:marBottom w:val="0"/>
      <w:divBdr>
        <w:top w:val="none" w:sz="0" w:space="0" w:color="auto"/>
        <w:left w:val="none" w:sz="0" w:space="0" w:color="auto"/>
        <w:bottom w:val="none" w:sz="0" w:space="0" w:color="auto"/>
        <w:right w:val="none" w:sz="0" w:space="0" w:color="auto"/>
      </w:divBdr>
    </w:div>
    <w:div w:id="1705866084">
      <w:bodyDiv w:val="1"/>
      <w:marLeft w:val="0"/>
      <w:marRight w:val="0"/>
      <w:marTop w:val="0"/>
      <w:marBottom w:val="0"/>
      <w:divBdr>
        <w:top w:val="none" w:sz="0" w:space="0" w:color="auto"/>
        <w:left w:val="none" w:sz="0" w:space="0" w:color="auto"/>
        <w:bottom w:val="none" w:sz="0" w:space="0" w:color="auto"/>
        <w:right w:val="none" w:sz="0" w:space="0" w:color="auto"/>
      </w:divBdr>
    </w:div>
    <w:div w:id="1707439188">
      <w:bodyDiv w:val="1"/>
      <w:marLeft w:val="0"/>
      <w:marRight w:val="0"/>
      <w:marTop w:val="0"/>
      <w:marBottom w:val="0"/>
      <w:divBdr>
        <w:top w:val="none" w:sz="0" w:space="0" w:color="auto"/>
        <w:left w:val="none" w:sz="0" w:space="0" w:color="auto"/>
        <w:bottom w:val="none" w:sz="0" w:space="0" w:color="auto"/>
        <w:right w:val="none" w:sz="0" w:space="0" w:color="auto"/>
      </w:divBdr>
    </w:div>
    <w:div w:id="1769541520">
      <w:bodyDiv w:val="1"/>
      <w:marLeft w:val="0"/>
      <w:marRight w:val="0"/>
      <w:marTop w:val="0"/>
      <w:marBottom w:val="0"/>
      <w:divBdr>
        <w:top w:val="none" w:sz="0" w:space="0" w:color="auto"/>
        <w:left w:val="none" w:sz="0" w:space="0" w:color="auto"/>
        <w:bottom w:val="none" w:sz="0" w:space="0" w:color="auto"/>
        <w:right w:val="none" w:sz="0" w:space="0" w:color="auto"/>
      </w:divBdr>
    </w:div>
    <w:div w:id="1916428450">
      <w:bodyDiv w:val="1"/>
      <w:marLeft w:val="0"/>
      <w:marRight w:val="0"/>
      <w:marTop w:val="0"/>
      <w:marBottom w:val="0"/>
      <w:divBdr>
        <w:top w:val="none" w:sz="0" w:space="0" w:color="auto"/>
        <w:left w:val="none" w:sz="0" w:space="0" w:color="auto"/>
        <w:bottom w:val="none" w:sz="0" w:space="0" w:color="auto"/>
        <w:right w:val="none" w:sz="0" w:space="0" w:color="auto"/>
      </w:divBdr>
    </w:div>
    <w:div w:id="1944720974">
      <w:bodyDiv w:val="1"/>
      <w:marLeft w:val="0"/>
      <w:marRight w:val="0"/>
      <w:marTop w:val="0"/>
      <w:marBottom w:val="0"/>
      <w:divBdr>
        <w:top w:val="none" w:sz="0" w:space="0" w:color="auto"/>
        <w:left w:val="none" w:sz="0" w:space="0" w:color="auto"/>
        <w:bottom w:val="none" w:sz="0" w:space="0" w:color="auto"/>
        <w:right w:val="none" w:sz="0" w:space="0" w:color="auto"/>
      </w:divBdr>
    </w:div>
    <w:div w:id="19801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5B65-8AC5-4780-A7E9-0EA1D603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4367</Words>
  <Characters>24895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ADULTS AND COMMUNITIES – PROGRAMME MANAGEMENT OFFICE</vt:lpstr>
    </vt:vector>
  </TitlesOfParts>
  <Company>Service Birmingham</Company>
  <LinksUpToDate>false</LinksUpToDate>
  <CharactersWithSpaces>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ADULTS AND COMMUNITIES – PROGRAMME MANAGEMENT OFFICE</dc:title>
  <dc:creator>Birmingham City Council</dc:creator>
  <cp:lastModifiedBy>Service Birmingham</cp:lastModifiedBy>
  <cp:revision>3</cp:revision>
  <cp:lastPrinted>2016-05-10T15:56:00Z</cp:lastPrinted>
  <dcterms:created xsi:type="dcterms:W3CDTF">2016-07-14T12:06:00Z</dcterms:created>
  <dcterms:modified xsi:type="dcterms:W3CDTF">2016-07-14T15:36:00Z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0x010100646D2E016CCDB342A46E4255A870FD5E</vt:lpwstr>
  </property>
</Properties>
</file>